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4BD3" w14:textId="77777777" w:rsidR="009535B9" w:rsidRDefault="009535B9" w:rsidP="00E62330">
      <w:pPr>
        <w:pStyle w:val="NoNumTitle-Clause"/>
        <w:ind w:left="0"/>
      </w:pPr>
      <w:bookmarkStart w:id="0" w:name="a787974"/>
      <w:r>
        <w:t>Introduction</w:t>
      </w:r>
      <w:bookmarkEnd w:id="0"/>
    </w:p>
    <w:p w14:paraId="0BB0C1AF" w14:textId="77777777" w:rsidR="009535B9" w:rsidRPr="006C74B9" w:rsidRDefault="009535B9" w:rsidP="00E62330">
      <w:pPr>
        <w:pStyle w:val="NoNumUntitledClause"/>
        <w:rPr>
          <w:b/>
          <w:bCs/>
        </w:rPr>
      </w:pPr>
      <w:bookmarkStart w:id="1" w:name="a448936"/>
      <w:r>
        <w:rPr>
          <w:b/>
          <w:bCs/>
        </w:rPr>
        <w:t>PRIVACY POLICY</w:t>
      </w:r>
      <w:bookmarkEnd w:id="1"/>
    </w:p>
    <w:p w14:paraId="17031CDC" w14:textId="3B31E74C" w:rsidR="009535B9" w:rsidRDefault="009535B9" w:rsidP="00E62330">
      <w:pPr>
        <w:pStyle w:val="NoNumUntitledClause"/>
        <w:ind w:left="0"/>
      </w:pPr>
      <w:bookmarkStart w:id="2" w:name="a183820"/>
      <w:r>
        <w:t xml:space="preserve">This privacy policy sets out how </w:t>
      </w:r>
      <w:r w:rsidR="00060E33">
        <w:t>International Law Connection Ltd (ILC)</w:t>
      </w:r>
      <w:r>
        <w:t xml:space="preserve"> uses and protects your personal data. </w:t>
      </w:r>
      <w:bookmarkEnd w:id="2"/>
    </w:p>
    <w:p w14:paraId="6D76E5EE" w14:textId="77777777" w:rsidR="009535B9" w:rsidRPr="006A5629" w:rsidRDefault="009535B9" w:rsidP="00E62330">
      <w:pPr>
        <w:pStyle w:val="NoNumUntitledClause"/>
        <w:ind w:left="0"/>
        <w:rPr>
          <w:b/>
          <w:bCs/>
        </w:rPr>
      </w:pPr>
      <w:bookmarkStart w:id="3" w:name="a345171"/>
      <w:r>
        <w:rPr>
          <w:b/>
          <w:bCs/>
        </w:rPr>
        <w:t>1. IMPORTANT INFORMATION AND WHO WE ARE (</w:t>
      </w:r>
      <w:r>
        <w:fldChar w:fldCharType="begin"/>
      </w:r>
      <w:r>
        <w:instrText>PAGEREF a819128\# "'paragraph '"  \h</w:instrText>
      </w:r>
      <w:r>
        <w:fldChar w:fldCharType="separate"/>
      </w:r>
      <w:r>
        <w:t xml:space="preserve">paragraph </w:t>
      </w:r>
      <w:r>
        <w:fldChar w:fldCharType="end"/>
      </w:r>
      <w:r>
        <w:fldChar w:fldCharType="begin"/>
      </w:r>
      <w:r>
        <w:rPr>
          <w:highlight w:val="lightGray"/>
        </w:rPr>
        <w:instrText>REF a819128 \h \w</w:instrText>
      </w:r>
      <w:r>
        <w:fldChar w:fldCharType="separate"/>
      </w:r>
      <w:r>
        <w:t>1</w:t>
      </w:r>
      <w:r>
        <w:fldChar w:fldCharType="end"/>
      </w:r>
      <w:r>
        <w:rPr>
          <w:rStyle w:val="Hyperlink"/>
          <w:b/>
          <w:bCs/>
        </w:rPr>
        <w:t>)</w:t>
      </w:r>
      <w:bookmarkEnd w:id="3"/>
    </w:p>
    <w:p w14:paraId="055FDCA4" w14:textId="77777777" w:rsidR="009535B9" w:rsidRPr="00817C26" w:rsidRDefault="009535B9" w:rsidP="00E62330">
      <w:pPr>
        <w:pStyle w:val="NoNumUntitledClause"/>
        <w:ind w:left="0"/>
        <w:rPr>
          <w:b/>
          <w:bCs/>
        </w:rPr>
      </w:pPr>
      <w:bookmarkStart w:id="4" w:name="a313821"/>
      <w:r>
        <w:rPr>
          <w:b/>
          <w:bCs/>
        </w:rPr>
        <w:t>2. TYPES OF PERSONAL DATA WE COLLECT ABOUT YOU (</w:t>
      </w:r>
      <w:r>
        <w:fldChar w:fldCharType="begin"/>
      </w:r>
      <w:r>
        <w:instrText>PAGEREF a480831\# "'paragraph '"  \h</w:instrText>
      </w:r>
      <w:r>
        <w:fldChar w:fldCharType="separate"/>
      </w:r>
      <w:r>
        <w:t xml:space="preserve">paragraph </w:t>
      </w:r>
      <w:r>
        <w:fldChar w:fldCharType="end"/>
      </w:r>
      <w:r>
        <w:fldChar w:fldCharType="begin"/>
      </w:r>
      <w:r>
        <w:rPr>
          <w:highlight w:val="lightGray"/>
        </w:rPr>
        <w:instrText>REF a480831 \h \w</w:instrText>
      </w:r>
      <w:r>
        <w:fldChar w:fldCharType="separate"/>
      </w:r>
      <w:r>
        <w:t>2</w:t>
      </w:r>
      <w:r>
        <w:fldChar w:fldCharType="end"/>
      </w:r>
      <w:r>
        <w:rPr>
          <w:rStyle w:val="Hyperlink"/>
          <w:b/>
          <w:bCs/>
          <w:i w:val="0"/>
          <w:iCs/>
          <w:u w:val="none"/>
        </w:rPr>
        <w:t>)</w:t>
      </w:r>
      <w:bookmarkEnd w:id="4"/>
    </w:p>
    <w:p w14:paraId="49A038C0" w14:textId="77777777" w:rsidR="009535B9" w:rsidRPr="00817C26" w:rsidRDefault="009535B9" w:rsidP="00E62330">
      <w:pPr>
        <w:pStyle w:val="NoNumUntitledClause"/>
        <w:ind w:left="0"/>
        <w:rPr>
          <w:b/>
          <w:bCs/>
        </w:rPr>
      </w:pPr>
      <w:bookmarkStart w:id="5" w:name="a575864"/>
      <w:r>
        <w:rPr>
          <w:b/>
          <w:bCs/>
        </w:rPr>
        <w:t>3. HOW IS YOUR PERSONAL DATA COLLECTED? (</w:t>
      </w:r>
      <w:r>
        <w:fldChar w:fldCharType="begin"/>
      </w:r>
      <w:r>
        <w:instrText>PAGEREF a524838\# "'paragraph '"  \h</w:instrText>
      </w:r>
      <w:r>
        <w:fldChar w:fldCharType="separate"/>
      </w:r>
      <w:r>
        <w:t xml:space="preserve">paragraph </w:t>
      </w:r>
      <w:r>
        <w:fldChar w:fldCharType="end"/>
      </w:r>
      <w:r>
        <w:fldChar w:fldCharType="begin"/>
      </w:r>
      <w:r>
        <w:rPr>
          <w:highlight w:val="lightGray"/>
        </w:rPr>
        <w:instrText>REF a524838 \h \w</w:instrText>
      </w:r>
      <w:r>
        <w:fldChar w:fldCharType="separate"/>
      </w:r>
      <w:r>
        <w:t>3</w:t>
      </w:r>
      <w:r>
        <w:fldChar w:fldCharType="end"/>
      </w:r>
      <w:r>
        <w:rPr>
          <w:b/>
          <w:bCs/>
        </w:rPr>
        <w:t>)</w:t>
      </w:r>
      <w:bookmarkEnd w:id="5"/>
    </w:p>
    <w:p w14:paraId="22ADE7EE" w14:textId="77777777" w:rsidR="009535B9" w:rsidRPr="00817C26" w:rsidRDefault="009535B9" w:rsidP="00E62330">
      <w:pPr>
        <w:pStyle w:val="NoNumUntitledClause"/>
        <w:ind w:left="0"/>
        <w:rPr>
          <w:b/>
          <w:bCs/>
        </w:rPr>
      </w:pPr>
      <w:bookmarkStart w:id="6" w:name="a919982"/>
      <w:r>
        <w:rPr>
          <w:b/>
          <w:bCs/>
        </w:rPr>
        <w:t>4. HOW WE USE YOUR PERSONAL DATA (</w:t>
      </w:r>
      <w:r>
        <w:fldChar w:fldCharType="begin"/>
      </w:r>
      <w:r>
        <w:instrText>PAGEREF a179246\# "'paragraph '"  \h</w:instrText>
      </w:r>
      <w:r>
        <w:fldChar w:fldCharType="separate"/>
      </w:r>
      <w:r>
        <w:t xml:space="preserve">paragraph </w:t>
      </w:r>
      <w:r>
        <w:fldChar w:fldCharType="end"/>
      </w:r>
      <w:r>
        <w:fldChar w:fldCharType="begin"/>
      </w:r>
      <w:r>
        <w:rPr>
          <w:highlight w:val="lightGray"/>
        </w:rPr>
        <w:instrText>REF a179246 \h \w</w:instrText>
      </w:r>
      <w:r>
        <w:fldChar w:fldCharType="separate"/>
      </w:r>
      <w:r>
        <w:t>4</w:t>
      </w:r>
      <w:r>
        <w:fldChar w:fldCharType="end"/>
      </w:r>
      <w:r>
        <w:rPr>
          <w:b/>
          <w:bCs/>
        </w:rPr>
        <w:t>)</w:t>
      </w:r>
      <w:bookmarkEnd w:id="6"/>
    </w:p>
    <w:p w14:paraId="04A7688F" w14:textId="77777777" w:rsidR="009535B9" w:rsidRPr="00817C26" w:rsidRDefault="009535B9" w:rsidP="00E62330">
      <w:pPr>
        <w:pStyle w:val="NoNumUntitledClause"/>
        <w:ind w:left="0"/>
        <w:rPr>
          <w:b/>
          <w:bCs/>
        </w:rPr>
      </w:pPr>
      <w:bookmarkStart w:id="7" w:name="a469725"/>
      <w:r>
        <w:rPr>
          <w:b/>
          <w:bCs/>
        </w:rPr>
        <w:t>5. DISCLOSURES OF YOUR PERSONAL DATA (</w:t>
      </w:r>
      <w:r>
        <w:fldChar w:fldCharType="begin"/>
      </w:r>
      <w:r>
        <w:instrText>PAGEREF a239061\# "'paragraph '"  \h</w:instrText>
      </w:r>
      <w:r>
        <w:fldChar w:fldCharType="separate"/>
      </w:r>
      <w:r>
        <w:t xml:space="preserve">paragraph </w:t>
      </w:r>
      <w:r>
        <w:fldChar w:fldCharType="end"/>
      </w:r>
      <w:r>
        <w:fldChar w:fldCharType="begin"/>
      </w:r>
      <w:r>
        <w:rPr>
          <w:highlight w:val="lightGray"/>
        </w:rPr>
        <w:instrText>REF a239061 \h \w</w:instrText>
      </w:r>
      <w:r>
        <w:fldChar w:fldCharType="separate"/>
      </w:r>
      <w:r>
        <w:t>5</w:t>
      </w:r>
      <w:r>
        <w:fldChar w:fldCharType="end"/>
      </w:r>
      <w:r>
        <w:rPr>
          <w:rStyle w:val="Hyperlink"/>
          <w:b/>
          <w:bCs/>
          <w:i w:val="0"/>
          <w:iCs/>
          <w:u w:val="none"/>
        </w:rPr>
        <w:t>)</w:t>
      </w:r>
      <w:r>
        <w:rPr>
          <w:b/>
          <w:bCs/>
        </w:rPr>
        <w:t xml:space="preserve"> </w:t>
      </w:r>
      <w:bookmarkEnd w:id="7"/>
    </w:p>
    <w:p w14:paraId="2562FA49" w14:textId="77777777" w:rsidR="009535B9" w:rsidRPr="00817C26" w:rsidRDefault="009535B9" w:rsidP="00E62330">
      <w:pPr>
        <w:pStyle w:val="NoNumUntitledClause"/>
        <w:ind w:left="0"/>
        <w:rPr>
          <w:b/>
          <w:bCs/>
        </w:rPr>
      </w:pPr>
      <w:bookmarkStart w:id="8" w:name="a798662"/>
      <w:r>
        <w:rPr>
          <w:b/>
          <w:bCs/>
        </w:rPr>
        <w:t>6. INTERNATIONAL TRANSFERS (</w:t>
      </w:r>
      <w:r>
        <w:fldChar w:fldCharType="begin"/>
      </w:r>
      <w:r>
        <w:instrText>PAGEREF a888527\# "'paragraph '"  \h</w:instrText>
      </w:r>
      <w:r>
        <w:fldChar w:fldCharType="separate"/>
      </w:r>
      <w:r>
        <w:t xml:space="preserve">paragraph </w:t>
      </w:r>
      <w:r>
        <w:fldChar w:fldCharType="end"/>
      </w:r>
      <w:r>
        <w:fldChar w:fldCharType="begin"/>
      </w:r>
      <w:r>
        <w:rPr>
          <w:highlight w:val="lightGray"/>
        </w:rPr>
        <w:instrText>REF a888527 \h \w</w:instrText>
      </w:r>
      <w:r>
        <w:fldChar w:fldCharType="separate"/>
      </w:r>
      <w:r>
        <w:t>6</w:t>
      </w:r>
      <w:r>
        <w:fldChar w:fldCharType="end"/>
      </w:r>
      <w:r>
        <w:rPr>
          <w:rStyle w:val="Hyperlink"/>
          <w:b/>
          <w:bCs/>
          <w:i w:val="0"/>
          <w:iCs/>
          <w:u w:val="none"/>
        </w:rPr>
        <w:t>)</w:t>
      </w:r>
      <w:r>
        <w:rPr>
          <w:b/>
          <w:bCs/>
        </w:rPr>
        <w:t xml:space="preserve"> </w:t>
      </w:r>
      <w:bookmarkEnd w:id="8"/>
    </w:p>
    <w:p w14:paraId="61288F2B" w14:textId="77777777" w:rsidR="009535B9" w:rsidRPr="00493E4D" w:rsidRDefault="009535B9" w:rsidP="00E62330">
      <w:pPr>
        <w:pStyle w:val="NoNumUntitledClause"/>
        <w:ind w:left="0"/>
        <w:rPr>
          <w:b/>
          <w:bCs/>
        </w:rPr>
      </w:pPr>
      <w:bookmarkStart w:id="9" w:name="a496559"/>
      <w:r>
        <w:rPr>
          <w:b/>
          <w:bCs/>
        </w:rPr>
        <w:t>7. DATA SECURITY (</w:t>
      </w:r>
      <w:r>
        <w:fldChar w:fldCharType="begin"/>
      </w:r>
      <w:r>
        <w:instrText>PAGEREF a424553\# "'paragraph '"  \h</w:instrText>
      </w:r>
      <w:r>
        <w:fldChar w:fldCharType="separate"/>
      </w:r>
      <w:r>
        <w:t xml:space="preserve">paragraph </w:t>
      </w:r>
      <w:r>
        <w:fldChar w:fldCharType="end"/>
      </w:r>
      <w:r>
        <w:fldChar w:fldCharType="begin"/>
      </w:r>
      <w:r>
        <w:rPr>
          <w:highlight w:val="lightGray"/>
        </w:rPr>
        <w:instrText>REF a424553 \h \w</w:instrText>
      </w:r>
      <w:r>
        <w:fldChar w:fldCharType="separate"/>
      </w:r>
      <w:r>
        <w:t>7</w:t>
      </w:r>
      <w:r>
        <w:fldChar w:fldCharType="end"/>
      </w:r>
      <w:r>
        <w:rPr>
          <w:rStyle w:val="Hyperlink"/>
          <w:b/>
          <w:bCs/>
          <w:i w:val="0"/>
          <w:iCs/>
          <w:u w:val="none"/>
        </w:rPr>
        <w:t>)</w:t>
      </w:r>
      <w:bookmarkEnd w:id="9"/>
    </w:p>
    <w:p w14:paraId="6C095DDA" w14:textId="77777777" w:rsidR="009535B9" w:rsidRPr="00817C26" w:rsidRDefault="009535B9" w:rsidP="00E62330">
      <w:pPr>
        <w:pStyle w:val="NoNumUntitledClause"/>
        <w:ind w:left="0"/>
        <w:rPr>
          <w:b/>
          <w:bCs/>
        </w:rPr>
      </w:pPr>
      <w:bookmarkStart w:id="10" w:name="a915856"/>
      <w:r>
        <w:rPr>
          <w:b/>
          <w:bCs/>
        </w:rPr>
        <w:t>8. DATA RETENTION (</w:t>
      </w:r>
      <w:r>
        <w:fldChar w:fldCharType="begin"/>
      </w:r>
      <w:r>
        <w:instrText>PAGEREF a852989\# "'paragraph '"  \h</w:instrText>
      </w:r>
      <w:r>
        <w:fldChar w:fldCharType="separate"/>
      </w:r>
      <w:r>
        <w:t xml:space="preserve">paragraph </w:t>
      </w:r>
      <w:r>
        <w:fldChar w:fldCharType="end"/>
      </w:r>
      <w:r>
        <w:fldChar w:fldCharType="begin"/>
      </w:r>
      <w:r>
        <w:rPr>
          <w:highlight w:val="lightGray"/>
        </w:rPr>
        <w:instrText>REF a852989 \h \w</w:instrText>
      </w:r>
      <w:r>
        <w:fldChar w:fldCharType="separate"/>
      </w:r>
      <w:r>
        <w:t>8</w:t>
      </w:r>
      <w:r>
        <w:fldChar w:fldCharType="end"/>
      </w:r>
      <w:r>
        <w:rPr>
          <w:b/>
          <w:bCs/>
        </w:rPr>
        <w:t>)</w:t>
      </w:r>
      <w:bookmarkEnd w:id="10"/>
    </w:p>
    <w:p w14:paraId="3E62705A" w14:textId="77777777" w:rsidR="009535B9" w:rsidRPr="00817C26" w:rsidRDefault="009535B9" w:rsidP="00E62330">
      <w:pPr>
        <w:pStyle w:val="NoNumUntitledClause"/>
        <w:ind w:left="0"/>
        <w:rPr>
          <w:b/>
          <w:bCs/>
        </w:rPr>
      </w:pPr>
      <w:bookmarkStart w:id="11" w:name="a700940"/>
      <w:r>
        <w:rPr>
          <w:b/>
          <w:bCs/>
        </w:rPr>
        <w:t>9. YOUR LEGAL RIGHTS (</w:t>
      </w:r>
      <w:r>
        <w:fldChar w:fldCharType="begin"/>
      </w:r>
      <w:r>
        <w:instrText>PAGEREF a152621\# "'paragraph '"  \h</w:instrText>
      </w:r>
      <w:r>
        <w:fldChar w:fldCharType="separate"/>
      </w:r>
      <w:r>
        <w:t xml:space="preserve">paragraph </w:t>
      </w:r>
      <w:r>
        <w:fldChar w:fldCharType="end"/>
      </w:r>
      <w:r>
        <w:fldChar w:fldCharType="begin"/>
      </w:r>
      <w:r>
        <w:rPr>
          <w:highlight w:val="lightGray"/>
        </w:rPr>
        <w:instrText>REF a152621 \h \w</w:instrText>
      </w:r>
      <w:r>
        <w:fldChar w:fldCharType="separate"/>
      </w:r>
      <w:r>
        <w:t>9</w:t>
      </w:r>
      <w:r>
        <w:fldChar w:fldCharType="end"/>
      </w:r>
      <w:r>
        <w:rPr>
          <w:b/>
          <w:bCs/>
        </w:rPr>
        <w:t>)</w:t>
      </w:r>
      <w:bookmarkEnd w:id="11"/>
    </w:p>
    <w:p w14:paraId="617D05C9" w14:textId="77777777" w:rsidR="009535B9" w:rsidRPr="00493E4D" w:rsidRDefault="009535B9" w:rsidP="00E62330">
      <w:pPr>
        <w:pStyle w:val="NoNumUntitledClause"/>
        <w:ind w:left="0"/>
        <w:rPr>
          <w:b/>
          <w:bCs/>
          <w:i/>
          <w:iCs/>
        </w:rPr>
      </w:pPr>
      <w:bookmarkStart w:id="12" w:name="a292340"/>
      <w:r>
        <w:rPr>
          <w:b/>
          <w:bCs/>
        </w:rPr>
        <w:t>10. CONTACT DETAILS (</w:t>
      </w:r>
      <w:r>
        <w:fldChar w:fldCharType="begin"/>
      </w:r>
      <w:r>
        <w:instrText>PAGEREF a682882\# "'paragraph '"  \h</w:instrText>
      </w:r>
      <w:r>
        <w:fldChar w:fldCharType="separate"/>
      </w:r>
      <w:r>
        <w:t xml:space="preserve">paragraph </w:t>
      </w:r>
      <w:r>
        <w:fldChar w:fldCharType="end"/>
      </w:r>
      <w:r>
        <w:fldChar w:fldCharType="begin"/>
      </w:r>
      <w:r>
        <w:rPr>
          <w:highlight w:val="lightGray"/>
        </w:rPr>
        <w:instrText>REF a682882 \h \w</w:instrText>
      </w:r>
      <w:r>
        <w:fldChar w:fldCharType="separate"/>
      </w:r>
      <w:r>
        <w:t>10</w:t>
      </w:r>
      <w:r>
        <w:fldChar w:fldCharType="end"/>
      </w:r>
      <w:r>
        <w:rPr>
          <w:b/>
          <w:bCs/>
          <w:i/>
          <w:iCs/>
        </w:rPr>
        <w:t>)</w:t>
      </w:r>
      <w:bookmarkEnd w:id="12"/>
    </w:p>
    <w:p w14:paraId="1453C8BD" w14:textId="77777777" w:rsidR="009535B9" w:rsidRPr="00493E4D" w:rsidRDefault="009535B9" w:rsidP="00E62330">
      <w:pPr>
        <w:pStyle w:val="NoNumUntitledClause"/>
        <w:ind w:left="0"/>
        <w:rPr>
          <w:b/>
          <w:bCs/>
          <w:i/>
          <w:iCs/>
        </w:rPr>
      </w:pPr>
      <w:bookmarkStart w:id="13" w:name="a113757"/>
      <w:r>
        <w:rPr>
          <w:b/>
          <w:bCs/>
          <w:i/>
          <w:iCs/>
        </w:rPr>
        <w:t>11. COMPLAINTS (</w:t>
      </w:r>
      <w:r>
        <w:fldChar w:fldCharType="begin"/>
      </w:r>
      <w:r>
        <w:instrText>PAGEREF a194718\# "'paragraph '"  \h</w:instrText>
      </w:r>
      <w:r>
        <w:fldChar w:fldCharType="separate"/>
      </w:r>
      <w:r>
        <w:t xml:space="preserve">paragraph </w:t>
      </w:r>
      <w:r>
        <w:fldChar w:fldCharType="end"/>
      </w:r>
      <w:r>
        <w:fldChar w:fldCharType="begin"/>
      </w:r>
      <w:r>
        <w:rPr>
          <w:highlight w:val="lightGray"/>
        </w:rPr>
        <w:instrText>REF a194718 \h \w</w:instrText>
      </w:r>
      <w:r>
        <w:fldChar w:fldCharType="separate"/>
      </w:r>
      <w:r>
        <w:t>11</w:t>
      </w:r>
      <w:r>
        <w:fldChar w:fldCharType="end"/>
      </w:r>
      <w:r>
        <w:rPr>
          <w:rStyle w:val="Hyperlink"/>
          <w:b/>
          <w:bCs/>
          <w:i w:val="0"/>
          <w:u w:val="none"/>
        </w:rPr>
        <w:t>)</w:t>
      </w:r>
      <w:bookmarkEnd w:id="13"/>
    </w:p>
    <w:p w14:paraId="6D48B088" w14:textId="77777777" w:rsidR="009535B9" w:rsidRPr="00493E4D" w:rsidRDefault="009535B9" w:rsidP="00E62330">
      <w:pPr>
        <w:pStyle w:val="NoNumUntitledClause"/>
        <w:ind w:left="0"/>
        <w:rPr>
          <w:b/>
          <w:bCs/>
          <w:i/>
          <w:iCs/>
        </w:rPr>
      </w:pPr>
      <w:bookmarkStart w:id="14" w:name="a341330"/>
      <w:r>
        <w:rPr>
          <w:b/>
          <w:bCs/>
          <w:i/>
          <w:iCs/>
        </w:rPr>
        <w:t>12. CHANGES TO THE PRIVACY POLICY AND YOUR DUTY TO INFORM US OF CHANGES (</w:t>
      </w:r>
      <w:r>
        <w:fldChar w:fldCharType="begin"/>
      </w:r>
      <w:r>
        <w:instrText>PAGEREF a475634\# "'paragraph '"  \h</w:instrText>
      </w:r>
      <w:r>
        <w:fldChar w:fldCharType="separate"/>
      </w:r>
      <w:r>
        <w:t xml:space="preserve">paragraph </w:t>
      </w:r>
      <w:r>
        <w:fldChar w:fldCharType="end"/>
      </w:r>
      <w:r>
        <w:fldChar w:fldCharType="begin"/>
      </w:r>
      <w:r>
        <w:rPr>
          <w:highlight w:val="lightGray"/>
        </w:rPr>
        <w:instrText>REF a475634 \h \w</w:instrText>
      </w:r>
      <w:r>
        <w:fldChar w:fldCharType="separate"/>
      </w:r>
      <w:r>
        <w:t>12</w:t>
      </w:r>
      <w:r>
        <w:fldChar w:fldCharType="end"/>
      </w:r>
      <w:r>
        <w:rPr>
          <w:rStyle w:val="Hyperlink"/>
          <w:b/>
          <w:bCs/>
          <w:i w:val="0"/>
          <w:u w:val="none"/>
        </w:rPr>
        <w:t>)</w:t>
      </w:r>
      <w:bookmarkEnd w:id="14"/>
    </w:p>
    <w:p w14:paraId="550CC083" w14:textId="77777777" w:rsidR="009535B9" w:rsidRPr="00450FC7" w:rsidRDefault="009535B9" w:rsidP="00E62330">
      <w:pPr>
        <w:pStyle w:val="NoNumUntitledClause"/>
        <w:rPr>
          <w:b/>
          <w:bCs/>
        </w:rPr>
      </w:pPr>
      <w:bookmarkStart w:id="15" w:name="a644190"/>
      <w:r>
        <w:rPr>
          <w:b/>
          <w:bCs/>
        </w:rPr>
        <w:t>Privacy policy</w:t>
      </w:r>
      <w:bookmarkEnd w:id="15"/>
    </w:p>
    <w:p w14:paraId="65424DDC" w14:textId="5A8CDA99" w:rsidR="009535B9" w:rsidRPr="001D03AE" w:rsidRDefault="009535B9" w:rsidP="00E62330">
      <w:pPr>
        <w:pStyle w:val="NoNumUntitledClause"/>
        <w:ind w:left="0"/>
      </w:pPr>
      <w:bookmarkStart w:id="16" w:name="a769702"/>
      <w:r>
        <w:t xml:space="preserve">This privacy policy gives you information about how </w:t>
      </w:r>
      <w:r w:rsidR="00060E33">
        <w:t>ILC</w:t>
      </w:r>
      <w:r>
        <w:t xml:space="preserve"> collects and uses your personal data through your use of this website, including any data you may provide when you </w:t>
      </w:r>
      <w:r>
        <w:t xml:space="preserve">register with us </w:t>
      </w:r>
      <w:r>
        <w:rPr>
          <w:b/>
        </w:rPr>
        <w:t>OR</w:t>
      </w:r>
      <w:r>
        <w:t xml:space="preserve"> purchase</w:t>
      </w:r>
      <w:r>
        <w:t xml:space="preserve">. </w:t>
      </w:r>
      <w:bookmarkEnd w:id="16"/>
    </w:p>
    <w:p w14:paraId="3BB1DCD2" w14:textId="77777777" w:rsidR="009535B9" w:rsidRPr="001D03AE" w:rsidRDefault="009535B9" w:rsidP="00E62330">
      <w:pPr>
        <w:pStyle w:val="NoNumUntitledClause"/>
        <w:ind w:left="0"/>
      </w:pPr>
      <w:bookmarkStart w:id="17" w:name="a271689"/>
      <w:r>
        <w:t xml:space="preserve">This website is not intended for </w:t>
      </w:r>
      <w:proofErr w:type="gramStart"/>
      <w:r>
        <w:t>children</w:t>
      </w:r>
      <w:proofErr w:type="gramEnd"/>
      <w:r>
        <w:t xml:space="preserve"> and we do not knowingly collect data relating to children.</w:t>
      </w:r>
      <w:bookmarkEnd w:id="17"/>
    </w:p>
    <w:p w14:paraId="31712D58" w14:textId="77777777" w:rsidR="009535B9" w:rsidRPr="001D03AE" w:rsidRDefault="009535B9" w:rsidP="00E62330">
      <w:pPr>
        <w:pStyle w:val="NoNumTitle-Clause"/>
        <w:ind w:left="0"/>
      </w:pPr>
      <w:bookmarkStart w:id="18" w:name="a985786"/>
      <w:r>
        <w:t>Controller</w:t>
      </w:r>
      <w:bookmarkEnd w:id="18"/>
    </w:p>
    <w:p w14:paraId="5DE566A1" w14:textId="64E7A46A" w:rsidR="009535B9" w:rsidRPr="001D03AE" w:rsidRDefault="00060E33" w:rsidP="00E62330">
      <w:pPr>
        <w:pStyle w:val="NoNumUntitledClause"/>
        <w:ind w:left="0"/>
      </w:pPr>
      <w:bookmarkStart w:id="19" w:name="a382234"/>
      <w:proofErr w:type="spellStart"/>
      <w:r>
        <w:t>Inrenational</w:t>
      </w:r>
      <w:proofErr w:type="spellEnd"/>
      <w:r>
        <w:t xml:space="preserve"> Law Connection Ltd i</w:t>
      </w:r>
      <w:r w:rsidR="009535B9">
        <w:t xml:space="preserve">s the controller and responsible for your personal data (collectively referred to as </w:t>
      </w:r>
      <w:r w:rsidR="009535B9">
        <w:t>"COMPANY"</w:t>
      </w:r>
      <w:r w:rsidR="009535B9">
        <w:t>,</w:t>
      </w:r>
      <w:r>
        <w:t xml:space="preserve"> “ILC”</w:t>
      </w:r>
      <w:r w:rsidR="009535B9">
        <w:t xml:space="preserve"> "we", "us" or "our" in this privacy policy).</w:t>
      </w:r>
      <w:bookmarkEnd w:id="19"/>
    </w:p>
    <w:p w14:paraId="245A0CD4" w14:textId="4F7726CC" w:rsidR="009535B9" w:rsidRPr="001D03AE" w:rsidRDefault="009535B9" w:rsidP="00E62330">
      <w:pPr>
        <w:pStyle w:val="NoNumUntitledClause"/>
        <w:ind w:left="0"/>
      </w:pPr>
      <w:bookmarkStart w:id="20" w:name="a540866"/>
      <w:r>
        <w:t>If you have any questions about this privacy policy, including any requests to exercise your legal rights (</w:t>
      </w:r>
      <w:r>
        <w:fldChar w:fldCharType="begin"/>
      </w:r>
      <w:r>
        <w:instrText>PAGEREF a152621\# "'paragraph '"  \h</w:instrText>
      </w:r>
      <w:r>
        <w:fldChar w:fldCharType="separate"/>
      </w:r>
      <w:r>
        <w:t xml:space="preserve">paragraph </w:t>
      </w:r>
      <w:r>
        <w:fldChar w:fldCharType="end"/>
      </w:r>
      <w:r>
        <w:fldChar w:fldCharType="begin"/>
      </w:r>
      <w:r>
        <w:rPr>
          <w:highlight w:val="lightGray"/>
        </w:rPr>
        <w:instrText>REF a152621 \h \w</w:instrText>
      </w:r>
      <w:r>
        <w:fldChar w:fldCharType="separate"/>
      </w:r>
      <w:r>
        <w:t>9</w:t>
      </w:r>
      <w:r>
        <w:fldChar w:fldCharType="end"/>
      </w:r>
      <w:r>
        <w:rPr>
          <w:rStyle w:val="Hyperlink"/>
        </w:rPr>
        <w:t>)</w:t>
      </w:r>
      <w:r>
        <w:t xml:space="preserve">, please contact </w:t>
      </w:r>
      <w:r>
        <w:t>us</w:t>
      </w:r>
      <w:r>
        <w:t xml:space="preserve"> using the information set out in the contact details section (</w:t>
      </w:r>
      <w:r>
        <w:fldChar w:fldCharType="begin"/>
      </w:r>
      <w:r>
        <w:instrText>PAGEREF a682882\# "'paragraph '"  \h</w:instrText>
      </w:r>
      <w:r>
        <w:fldChar w:fldCharType="separate"/>
      </w:r>
      <w:r>
        <w:t xml:space="preserve">paragraph </w:t>
      </w:r>
      <w:r>
        <w:fldChar w:fldCharType="end"/>
      </w:r>
      <w:r>
        <w:fldChar w:fldCharType="begin"/>
      </w:r>
      <w:r>
        <w:rPr>
          <w:highlight w:val="lightGray"/>
        </w:rPr>
        <w:instrText>REF a682882 \h \w</w:instrText>
      </w:r>
      <w:r>
        <w:fldChar w:fldCharType="separate"/>
      </w:r>
      <w:r>
        <w:t>10</w:t>
      </w:r>
      <w:r>
        <w:fldChar w:fldCharType="end"/>
      </w:r>
      <w:r>
        <w:rPr>
          <w:rStyle w:val="Hyperlink"/>
          <w:i w:val="0"/>
          <w:iCs/>
        </w:rPr>
        <w:t>)</w:t>
      </w:r>
      <w:r>
        <w:t xml:space="preserve">. </w:t>
      </w:r>
      <w:bookmarkEnd w:id="20"/>
    </w:p>
    <w:p w14:paraId="2DAADBFC" w14:textId="291839E0" w:rsidR="009535B9" w:rsidRDefault="009535B9" w:rsidP="00E62330">
      <w:pPr>
        <w:pStyle w:val="TitleClause"/>
      </w:pPr>
      <w:bookmarkStart w:id="21" w:name="_Toc256000001"/>
      <w:bookmarkStart w:id="22" w:name="a480831"/>
      <w:r>
        <w:t>The types of personal data we collect about you</w:t>
      </w:r>
      <w:bookmarkEnd w:id="21"/>
      <w:bookmarkEnd w:id="22"/>
    </w:p>
    <w:p w14:paraId="0EC62A84" w14:textId="77777777" w:rsidR="009535B9" w:rsidRDefault="009535B9" w:rsidP="00E62330">
      <w:pPr>
        <w:pStyle w:val="NoNumUntitledClause"/>
        <w:ind w:left="0"/>
      </w:pPr>
      <w:bookmarkStart w:id="23" w:name="a738838"/>
      <w:r>
        <w:t xml:space="preserve">Personal data means any information about an individual from which that person can be identified. </w:t>
      </w:r>
      <w:bookmarkEnd w:id="23"/>
    </w:p>
    <w:p w14:paraId="6359C6DE" w14:textId="77777777" w:rsidR="009535B9" w:rsidRDefault="009535B9" w:rsidP="00E62330">
      <w:pPr>
        <w:pStyle w:val="NoNumUntitledClause"/>
        <w:ind w:left="0"/>
      </w:pPr>
      <w:bookmarkStart w:id="24" w:name="a562087"/>
      <w:r>
        <w:t>We may collect, use, store and transfer different kinds of personal data about you which we have grouped together as follows:</w:t>
      </w:r>
      <w:bookmarkEnd w:id="24"/>
    </w:p>
    <w:p w14:paraId="062F2657" w14:textId="77777777" w:rsidR="009535B9" w:rsidRPr="006A0A26" w:rsidRDefault="009535B9" w:rsidP="00E62330">
      <w:pPr>
        <w:pStyle w:val="subclause1Bullet1"/>
      </w:pPr>
      <w:r>
        <w:rPr>
          <w:rStyle w:val="DefTerm"/>
        </w:rPr>
        <w:lastRenderedPageBreak/>
        <w:t>Identity Data</w:t>
      </w:r>
      <w:r>
        <w:t xml:space="preserve"> includes [first name, last name, any previous names, username or similar identifier, marital status, title, date of birth and gender].</w:t>
      </w:r>
    </w:p>
    <w:p w14:paraId="59DE9C77" w14:textId="77777777" w:rsidR="009535B9" w:rsidRPr="006A0A26" w:rsidRDefault="009535B9" w:rsidP="00E62330">
      <w:pPr>
        <w:pStyle w:val="subclause1Bullet1"/>
      </w:pPr>
      <w:r>
        <w:rPr>
          <w:rStyle w:val="DefTerm"/>
        </w:rPr>
        <w:t>Contact Data</w:t>
      </w:r>
      <w:r>
        <w:t xml:space="preserve"> includes [billing address, delivery address, email address and telephone numbers].</w:t>
      </w:r>
    </w:p>
    <w:p w14:paraId="4C25584C" w14:textId="77777777" w:rsidR="009535B9" w:rsidRPr="006A0A26" w:rsidRDefault="009535B9" w:rsidP="00E62330">
      <w:pPr>
        <w:pStyle w:val="subclause1Bullet1"/>
      </w:pPr>
      <w:r>
        <w:rPr>
          <w:rStyle w:val="DefTerm"/>
        </w:rPr>
        <w:t>Financial Data</w:t>
      </w:r>
      <w:r>
        <w:t xml:space="preserve"> includes [bank account and payment card details].</w:t>
      </w:r>
    </w:p>
    <w:p w14:paraId="4FB937FF" w14:textId="77777777" w:rsidR="009535B9" w:rsidRPr="006A0A26" w:rsidRDefault="009535B9" w:rsidP="00E62330">
      <w:pPr>
        <w:pStyle w:val="subclause1Bullet1"/>
      </w:pPr>
      <w:r>
        <w:rPr>
          <w:rStyle w:val="DefTerm"/>
        </w:rPr>
        <w:t>Transaction Data</w:t>
      </w:r>
      <w:r>
        <w:t xml:space="preserve"> includes [details about payments to and from you and other details of products and services you have purchased from us].</w:t>
      </w:r>
    </w:p>
    <w:p w14:paraId="0FA60A0E" w14:textId="77777777" w:rsidR="009535B9" w:rsidRPr="006A0A26" w:rsidRDefault="009535B9" w:rsidP="00E62330">
      <w:pPr>
        <w:pStyle w:val="subclause1Bullet1"/>
      </w:pPr>
      <w:r>
        <w:rPr>
          <w:rStyle w:val="DefTerm"/>
        </w:rPr>
        <w:t>Technical Data</w:t>
      </w:r>
      <w:r>
        <w:t xml:space="preserve"> includes [internet protocol (IP) address, your login data, browser type and version, time zone setting and location, browser plug-in types and versions, operating system and platform, device ID and other technology on the devices you use to access this website]. </w:t>
      </w:r>
    </w:p>
    <w:p w14:paraId="6FDC7B72" w14:textId="77777777" w:rsidR="009535B9" w:rsidRPr="006A0A26" w:rsidRDefault="009535B9" w:rsidP="00E62330">
      <w:pPr>
        <w:pStyle w:val="subclause1Bullet1"/>
      </w:pPr>
      <w:r>
        <w:rPr>
          <w:rStyle w:val="DefTerm"/>
        </w:rPr>
        <w:t>Profile Data</w:t>
      </w:r>
      <w:r>
        <w:rPr>
          <w:b/>
          <w:bCs/>
        </w:rPr>
        <w:t xml:space="preserve"> </w:t>
      </w:r>
      <w:r>
        <w:t>includes</w:t>
      </w:r>
      <w:r>
        <w:rPr>
          <w:bCs/>
        </w:rPr>
        <w:t xml:space="preserve"> [</w:t>
      </w:r>
      <w:r>
        <w:t xml:space="preserve">your username and password, purchases or orders made by you, your interests, preferences, feedback and survey responses].  </w:t>
      </w:r>
    </w:p>
    <w:p w14:paraId="7878C5BD" w14:textId="77777777" w:rsidR="009535B9" w:rsidRPr="006A0A26" w:rsidRDefault="009535B9" w:rsidP="00E62330">
      <w:pPr>
        <w:pStyle w:val="subclause1Bullet1"/>
      </w:pPr>
      <w:r>
        <w:rPr>
          <w:rStyle w:val="DefTerm"/>
        </w:rPr>
        <w:t>Usage Data</w:t>
      </w:r>
      <w:r>
        <w:t xml:space="preserve"> includes [information about how you interact with and use our website, products and services]. </w:t>
      </w:r>
    </w:p>
    <w:p w14:paraId="4C46D148" w14:textId="77777777" w:rsidR="009535B9" w:rsidRPr="006A0A26" w:rsidRDefault="009535B9" w:rsidP="00E62330">
      <w:pPr>
        <w:pStyle w:val="subclause1Bullet1"/>
      </w:pPr>
      <w:r>
        <w:rPr>
          <w:rStyle w:val="DefTerm"/>
        </w:rPr>
        <w:t>Marketing and Communications Data</w:t>
      </w:r>
      <w:r>
        <w:rPr>
          <w:b/>
          <w:bCs/>
        </w:rPr>
        <w:t xml:space="preserve"> </w:t>
      </w:r>
      <w:r>
        <w:t>includes [your preferences in receiving marketing from us and our third parties and your communication preferences].</w:t>
      </w:r>
    </w:p>
    <w:p w14:paraId="53D7871B" w14:textId="77777777" w:rsidR="009535B9" w:rsidRPr="006A0A26" w:rsidRDefault="009535B9" w:rsidP="00E62330">
      <w:pPr>
        <w:pStyle w:val="ParaClause"/>
        <w:ind w:left="0"/>
      </w:pPr>
      <w:r>
        <w:t>We also collect, use and share a</w:t>
      </w:r>
      <w:r>
        <w:rPr>
          <w:rStyle w:val="DefTerm"/>
          <w:b w:val="0"/>
          <w:bCs/>
        </w:rPr>
        <w:t>ggregated data</w:t>
      </w:r>
      <w:r>
        <w:t xml:space="preserve"> such as statistical or demographic data which is not personal data as it does not directly (or indirectly) reveal your identity. For example, we may aggregate individuals' Usage Data to calculate the percentage of users accessing a specific website feature </w:t>
      </w:r>
      <w:proofErr w:type="gramStart"/>
      <w:r>
        <w:t>in order to</w:t>
      </w:r>
      <w:proofErr w:type="gramEnd"/>
      <w:r>
        <w:t xml:space="preserve"> analyse general trends in how users are interacting with our website to help improve the website and our service offering.</w:t>
      </w:r>
    </w:p>
    <w:p w14:paraId="0E66E962" w14:textId="227060D3" w:rsidR="009535B9" w:rsidRDefault="009535B9" w:rsidP="00E62330">
      <w:pPr>
        <w:pStyle w:val="TitleClause"/>
      </w:pPr>
      <w:bookmarkStart w:id="25" w:name="_Toc256000002"/>
      <w:bookmarkStart w:id="26" w:name="a524838"/>
      <w:r>
        <w:t>How is your personal data collected?</w:t>
      </w:r>
      <w:bookmarkEnd w:id="25"/>
      <w:bookmarkEnd w:id="26"/>
    </w:p>
    <w:p w14:paraId="1D140E86" w14:textId="77777777" w:rsidR="009535B9" w:rsidRDefault="009535B9" w:rsidP="00E62330">
      <w:pPr>
        <w:pStyle w:val="NoNumUntitledClause"/>
        <w:ind w:left="0"/>
      </w:pPr>
      <w:bookmarkStart w:id="27" w:name="a653340"/>
      <w:r>
        <w:t>We use different methods to collect data from and about you including through:</w:t>
      </w:r>
      <w:bookmarkEnd w:id="27"/>
    </w:p>
    <w:p w14:paraId="6B193B2C" w14:textId="6F879FA8" w:rsidR="009535B9" w:rsidRPr="0052066E" w:rsidRDefault="009535B9" w:rsidP="00E62330">
      <w:pPr>
        <w:pStyle w:val="ClauseBullet1"/>
      </w:pPr>
      <w:r w:rsidRPr="00060E33">
        <w:rPr>
          <w:b/>
          <w:bCs/>
        </w:rPr>
        <w:t>Your interactions with us</w:t>
      </w:r>
      <w:r w:rsidRPr="00060E33">
        <w:rPr>
          <w:b/>
        </w:rPr>
        <w:t>.</w:t>
      </w:r>
      <w:r>
        <w:t xml:space="preserve"> You may give us your personal data by filling in online forms or by corresponding with us by post, phone, email or otherwise. This includes personal data you provide when you </w:t>
      </w:r>
      <w:r>
        <w:t xml:space="preserve">apply for our products or </w:t>
      </w:r>
      <w:proofErr w:type="gramStart"/>
      <w:r>
        <w:t>services;</w:t>
      </w:r>
      <w:proofErr w:type="gramEnd"/>
    </w:p>
    <w:p w14:paraId="41FFF56E" w14:textId="77777777" w:rsidR="009535B9" w:rsidRPr="0052066E" w:rsidRDefault="009535B9" w:rsidP="00E62330">
      <w:pPr>
        <w:pStyle w:val="ClauseBullet2"/>
      </w:pPr>
      <w:r>
        <w:t>c</w:t>
      </w:r>
      <w:r>
        <w:t xml:space="preserve">reate an account on our </w:t>
      </w:r>
      <w:proofErr w:type="gramStart"/>
      <w:r>
        <w:t>website;</w:t>
      </w:r>
      <w:proofErr w:type="gramEnd"/>
    </w:p>
    <w:p w14:paraId="13774CEA" w14:textId="77777777" w:rsidR="009535B9" w:rsidRPr="0052066E" w:rsidRDefault="009535B9" w:rsidP="00E62330">
      <w:pPr>
        <w:pStyle w:val="ClauseBullet2"/>
      </w:pPr>
      <w:r>
        <w:t xml:space="preserve">subscribe to our service or </w:t>
      </w:r>
      <w:proofErr w:type="gramStart"/>
      <w:r>
        <w:t>publications;</w:t>
      </w:r>
      <w:proofErr w:type="gramEnd"/>
      <w:r>
        <w:t xml:space="preserve"> </w:t>
      </w:r>
    </w:p>
    <w:p w14:paraId="62CE5937" w14:textId="77777777" w:rsidR="009535B9" w:rsidRPr="0052066E" w:rsidRDefault="009535B9" w:rsidP="00E62330">
      <w:pPr>
        <w:pStyle w:val="ClauseBullet2"/>
      </w:pPr>
      <w:r>
        <w:t xml:space="preserve">request marketing to be sent to </w:t>
      </w:r>
      <w:proofErr w:type="gramStart"/>
      <w:r>
        <w:t>you;</w:t>
      </w:r>
      <w:proofErr w:type="gramEnd"/>
    </w:p>
    <w:p w14:paraId="3B064ED7" w14:textId="7C0B695D" w:rsidR="00060E33" w:rsidRDefault="00060E33" w:rsidP="00E62330">
      <w:pPr>
        <w:pStyle w:val="ClauseBullet2"/>
      </w:pPr>
      <w:proofErr w:type="gramStart"/>
      <w:r>
        <w:t>enter into</w:t>
      </w:r>
      <w:proofErr w:type="gramEnd"/>
      <w:r>
        <w:t xml:space="preserve"> a contract with </w:t>
      </w:r>
      <w:proofErr w:type="gramStart"/>
      <w:r>
        <w:t>us;</w:t>
      </w:r>
      <w:proofErr w:type="gramEnd"/>
    </w:p>
    <w:p w14:paraId="21417344" w14:textId="5DB6707D" w:rsidR="009535B9" w:rsidRPr="0052066E" w:rsidRDefault="009535B9" w:rsidP="00E62330">
      <w:pPr>
        <w:pStyle w:val="ClauseBullet2"/>
      </w:pPr>
      <w:r>
        <w:t>enter a competition, promotion or survey; or</w:t>
      </w:r>
    </w:p>
    <w:p w14:paraId="66EFBAD6" w14:textId="77777777" w:rsidR="009535B9" w:rsidRPr="0052066E" w:rsidRDefault="009535B9" w:rsidP="00E62330">
      <w:pPr>
        <w:pStyle w:val="ClauseBullet2"/>
      </w:pPr>
      <w:r>
        <w:t xml:space="preserve">give us feedback or contact us. </w:t>
      </w:r>
    </w:p>
    <w:p w14:paraId="15DF9A5B" w14:textId="2F7586F6" w:rsidR="009535B9" w:rsidRPr="0052066E" w:rsidRDefault="009535B9" w:rsidP="00E62330">
      <w:pPr>
        <w:pStyle w:val="ClauseBullet1"/>
      </w:pPr>
      <w:r>
        <w:rPr>
          <w:b/>
          <w:bCs/>
        </w:rPr>
        <w:t>Automated technologies or interactions.</w:t>
      </w:r>
      <w:r>
        <w:t xml:space="preserve"> As you interact with our website, we will automatically collect Technical Data about your equipment, browsing actions and patterns. We collect this personal data by using </w:t>
      </w:r>
      <w:proofErr w:type="gramStart"/>
      <w:r>
        <w:t>cookies[</w:t>
      </w:r>
      <w:proofErr w:type="gramEnd"/>
      <w:r>
        <w:t xml:space="preserve">, server logs] and other similar technologies. </w:t>
      </w:r>
    </w:p>
    <w:p w14:paraId="3E315D24" w14:textId="0F8B3D6E" w:rsidR="009535B9" w:rsidRPr="00E07BC8" w:rsidRDefault="009535B9" w:rsidP="00E62330">
      <w:pPr>
        <w:pStyle w:val="ClauseBullet1"/>
        <w:rPr>
          <w:kern w:val="28"/>
        </w:rPr>
      </w:pPr>
      <w:r>
        <w:rPr>
          <w:b/>
          <w:bCs/>
        </w:rPr>
        <w:t>Third parties or publicly available sources.</w:t>
      </w:r>
      <w:r>
        <w:t xml:space="preserve"> We will receive personal data about you from various third parties </w:t>
      </w:r>
      <w:r>
        <w:t>and public sources</w:t>
      </w:r>
      <w:r>
        <w:t xml:space="preserve"> as set out below </w:t>
      </w:r>
    </w:p>
    <w:p w14:paraId="06CEFDE1" w14:textId="77777777" w:rsidR="009535B9" w:rsidRPr="0052066E" w:rsidRDefault="009535B9" w:rsidP="00E62330">
      <w:pPr>
        <w:pStyle w:val="ClauseBullet1"/>
      </w:pPr>
      <w:r>
        <w:t>Technical Data is collected from the following parties:</w:t>
      </w:r>
    </w:p>
    <w:p w14:paraId="4DEE655F" w14:textId="77777777" w:rsidR="009535B9" w:rsidRPr="0052066E" w:rsidRDefault="009535B9" w:rsidP="00E62330">
      <w:pPr>
        <w:pStyle w:val="ClauseBullet2"/>
      </w:pPr>
      <w:r>
        <w:lastRenderedPageBreak/>
        <w:t>analytics providers [such as Google based outside the UK</w:t>
      </w:r>
      <w:proofErr w:type="gramStart"/>
      <w:r>
        <w:t>];</w:t>
      </w:r>
      <w:proofErr w:type="gramEnd"/>
      <w:r>
        <w:t xml:space="preserve"> </w:t>
      </w:r>
    </w:p>
    <w:p w14:paraId="4DB3D609" w14:textId="12F3FE48" w:rsidR="009535B9" w:rsidRPr="0052066E" w:rsidRDefault="009535B9" w:rsidP="00E62330">
      <w:pPr>
        <w:pStyle w:val="ClauseBullet2"/>
      </w:pPr>
      <w:r>
        <w:t>advertising networks</w:t>
      </w:r>
      <w:r w:rsidR="00060E33">
        <w:t>;</w:t>
      </w:r>
      <w:r>
        <w:t xml:space="preserve"> and</w:t>
      </w:r>
    </w:p>
    <w:p w14:paraId="07270006" w14:textId="0A362FAB" w:rsidR="009535B9" w:rsidRPr="0052066E" w:rsidRDefault="009535B9" w:rsidP="00E62330">
      <w:pPr>
        <w:pStyle w:val="ClauseBullet2"/>
      </w:pPr>
      <w:r>
        <w:t>search information providers</w:t>
      </w:r>
      <w:r>
        <w:t>.</w:t>
      </w:r>
    </w:p>
    <w:p w14:paraId="7E38971B" w14:textId="3DCDF6B2" w:rsidR="009535B9" w:rsidRPr="0052066E" w:rsidRDefault="009535B9" w:rsidP="00E62330">
      <w:pPr>
        <w:pStyle w:val="ClauseBullet1"/>
      </w:pPr>
      <w:r>
        <w:t>Contact, Financial and Transaction Data is collected from providers of technical, payment and delivery services</w:t>
      </w:r>
      <w:r>
        <w:t>.</w:t>
      </w:r>
    </w:p>
    <w:p w14:paraId="5C09D819" w14:textId="74B9E5C9" w:rsidR="009535B9" w:rsidRPr="0052066E" w:rsidRDefault="009535B9" w:rsidP="00E62330">
      <w:pPr>
        <w:pStyle w:val="ClauseBullet1"/>
      </w:pPr>
      <w:r>
        <w:t>I</w:t>
      </w:r>
      <w:r>
        <w:t>dentity and Contact Data is collected from data brokers or aggregators</w:t>
      </w:r>
      <w:r>
        <w:t>.</w:t>
      </w:r>
    </w:p>
    <w:p w14:paraId="00B42980" w14:textId="2531535A" w:rsidR="009535B9" w:rsidRPr="0052066E" w:rsidRDefault="009535B9" w:rsidP="00E62330">
      <w:pPr>
        <w:pStyle w:val="ClauseBullet1"/>
      </w:pPr>
      <w:r>
        <w:t xml:space="preserve">Identity and Contact Data is collected from publicly available sources </w:t>
      </w:r>
      <w:r w:rsidR="00060E33">
        <w:t>s</w:t>
      </w:r>
      <w:r>
        <w:t>uch as Companies House and the Electoral Register based inside the UK</w:t>
      </w:r>
      <w:r>
        <w:t>.</w:t>
      </w:r>
    </w:p>
    <w:p w14:paraId="59FFBE4F" w14:textId="066F198F" w:rsidR="009535B9" w:rsidRDefault="009535B9" w:rsidP="00060E33">
      <w:pPr>
        <w:pStyle w:val="TitleClause"/>
      </w:pPr>
      <w:bookmarkStart w:id="28" w:name="_Toc256000003"/>
      <w:bookmarkStart w:id="29" w:name="a179246"/>
      <w:r>
        <w:t>How we use your personal data</w:t>
      </w:r>
      <w:bookmarkEnd w:id="28"/>
      <w:bookmarkEnd w:id="29"/>
    </w:p>
    <w:p w14:paraId="4334BE38" w14:textId="77777777" w:rsidR="009535B9" w:rsidRDefault="009535B9" w:rsidP="00E62330">
      <w:pPr>
        <w:pStyle w:val="NoNumTitle-Clause"/>
      </w:pPr>
      <w:bookmarkStart w:id="30" w:name="a964261"/>
      <w:r>
        <w:t>Legal basis</w:t>
      </w:r>
      <w:bookmarkEnd w:id="30"/>
    </w:p>
    <w:p w14:paraId="59724083" w14:textId="77777777" w:rsidR="009535B9" w:rsidRPr="008736B9" w:rsidRDefault="009535B9" w:rsidP="00E62330">
      <w:pPr>
        <w:pStyle w:val="NoNumUntitledClause"/>
        <w:ind w:left="0"/>
      </w:pPr>
      <w:bookmarkStart w:id="31" w:name="a573645"/>
      <w:r>
        <w:t>The law requires us to have a legal basis for collecting and using your personal data. We rely on one or more of the following legal bases:</w:t>
      </w:r>
      <w:bookmarkEnd w:id="31"/>
    </w:p>
    <w:p w14:paraId="0F21B716" w14:textId="77777777" w:rsidR="009535B9" w:rsidRPr="008736B9" w:rsidRDefault="009535B9" w:rsidP="00E62330">
      <w:pPr>
        <w:pStyle w:val="ClauseBullet1"/>
      </w:pPr>
      <w:r>
        <w:rPr>
          <w:b/>
          <w:bCs/>
        </w:rPr>
        <w:t>Performance of a contract with you:</w:t>
      </w:r>
      <w:r>
        <w:t xml:space="preserve"> Where we need to perform the </w:t>
      </w:r>
      <w:proofErr w:type="gramStart"/>
      <w:r>
        <w:t>contract</w:t>
      </w:r>
      <w:proofErr w:type="gramEnd"/>
      <w:r>
        <w:t xml:space="preserve"> we are about to </w:t>
      </w:r>
      <w:proofErr w:type="gramStart"/>
      <w:r>
        <w:t>enter into</w:t>
      </w:r>
      <w:proofErr w:type="gramEnd"/>
      <w:r>
        <w:t xml:space="preserve"> or have </w:t>
      </w:r>
      <w:proofErr w:type="gramStart"/>
      <w:r>
        <w:t>entered into</w:t>
      </w:r>
      <w:proofErr w:type="gramEnd"/>
      <w:r>
        <w:t xml:space="preserve"> with you.</w:t>
      </w:r>
    </w:p>
    <w:p w14:paraId="1B798423" w14:textId="77777777" w:rsidR="009535B9" w:rsidRPr="008736B9" w:rsidRDefault="009535B9" w:rsidP="00E62330">
      <w:pPr>
        <w:pStyle w:val="ClauseBullet1"/>
      </w:pPr>
      <w:r>
        <w:rPr>
          <w:b/>
          <w:bCs/>
        </w:rPr>
        <w:t xml:space="preserve">Legitimate interests: </w:t>
      </w:r>
      <w:r>
        <w:t>We may use your personal data where it is necessary to conduct our business and pursue our legitimate interests, for example to prevent fraud and enable us to give you the best and most secure customer experience. We make sure we consider and balance any potential impact on you and your rights (both positive and negative) before we process your personal data for our legitimate interests. We do not use your personal data for activities where our interests are overridden by the impact on you (unless we have y</w:t>
      </w:r>
      <w:r>
        <w:t>our consent or are otherwise required or permitted to by law).</w:t>
      </w:r>
    </w:p>
    <w:p w14:paraId="1FCEEE96" w14:textId="77777777" w:rsidR="009535B9" w:rsidRDefault="009535B9" w:rsidP="00E62330">
      <w:pPr>
        <w:pStyle w:val="ClauseBullet1"/>
      </w:pPr>
      <w:r>
        <w:rPr>
          <w:b/>
          <w:bCs/>
        </w:rPr>
        <w:t xml:space="preserve">Legal obligation: </w:t>
      </w:r>
      <w:r>
        <w:t>We may use your personal data where it is necessary for compliance with a legal obligation that we are subject to. We will identify the relevant legal obligation when we rely on this legal basis.</w:t>
      </w:r>
    </w:p>
    <w:p w14:paraId="60A3A8FD" w14:textId="77777777" w:rsidR="009535B9" w:rsidRPr="003E456F" w:rsidRDefault="009535B9" w:rsidP="00E62330">
      <w:pPr>
        <w:pStyle w:val="ClauseBullet1"/>
        <w:rPr>
          <w:b/>
          <w:bCs/>
        </w:rPr>
      </w:pPr>
      <w:r>
        <w:rPr>
          <w:b/>
          <w:bCs/>
        </w:rPr>
        <w:t xml:space="preserve">Consent: </w:t>
      </w:r>
      <w:r>
        <w:t>We rely on consent only where we have obtained your active agreement to use your personal data for a specified purpose, for example if you subscribe to an email newsletter.</w:t>
      </w:r>
    </w:p>
    <w:p w14:paraId="0196CA1B" w14:textId="77777777" w:rsidR="009535B9" w:rsidRDefault="009535B9" w:rsidP="00E62330">
      <w:pPr>
        <w:pStyle w:val="NoNumTitle-Clause"/>
        <w:ind w:left="0"/>
      </w:pPr>
      <w:bookmarkStart w:id="32" w:name="a705127"/>
      <w:r>
        <w:t xml:space="preserve">Purposes for which we will use your personal data </w:t>
      </w:r>
      <w:bookmarkEnd w:id="32"/>
    </w:p>
    <w:p w14:paraId="10D41945" w14:textId="77777777" w:rsidR="009535B9" w:rsidRPr="00F8117F" w:rsidRDefault="009535B9" w:rsidP="00E62330">
      <w:pPr>
        <w:pStyle w:val="NoNumUntitledClause"/>
      </w:pPr>
      <w:bookmarkStart w:id="33" w:name="a590771"/>
      <w:r>
        <w:t>We have set out below, in a table format, a description of all the ways we plan to use the various categories of your personal data, and which of the legal bases we rely on to do so. We have also identified what our legitimate interests are where appropriate.</w:t>
      </w:r>
      <w:bookmarkEnd w:id="33"/>
    </w:p>
    <w:tbl>
      <w:tblPr>
        <w:tblStyle w:val="TableGrid"/>
        <w:tblW w:w="0" w:type="auto"/>
        <w:tblLook w:val="04A0" w:firstRow="1" w:lastRow="0" w:firstColumn="1" w:lastColumn="0" w:noHBand="0" w:noVBand="1"/>
      </w:tblPr>
      <w:tblGrid>
        <w:gridCol w:w="3487"/>
        <w:gridCol w:w="2715"/>
        <w:gridCol w:w="4254"/>
      </w:tblGrid>
      <w:tr w:rsidR="00612CDF" w14:paraId="5A53F1A8" w14:textId="77777777" w:rsidTr="00060E33">
        <w:tc>
          <w:tcPr>
            <w:tcW w:w="3560" w:type="dxa"/>
            <w:tcBorders>
              <w:top w:val="single" w:sz="4" w:space="0" w:color="auto"/>
              <w:left w:val="single" w:sz="4" w:space="0" w:color="auto"/>
              <w:bottom w:val="single" w:sz="4" w:space="0" w:color="auto"/>
              <w:right w:val="single" w:sz="4" w:space="0" w:color="auto"/>
            </w:tcBorders>
          </w:tcPr>
          <w:p w14:paraId="53FE5D64" w14:textId="77777777" w:rsidR="009535B9" w:rsidRPr="00E0001D" w:rsidRDefault="009535B9" w:rsidP="00AF3F7C">
            <w:pPr>
              <w:pStyle w:val="Paragraph"/>
              <w:rPr>
                <w:b/>
              </w:rPr>
            </w:pPr>
            <w:r>
              <w:rPr>
                <w:b/>
              </w:rPr>
              <w:t>Purpose/Use</w:t>
            </w:r>
          </w:p>
        </w:tc>
        <w:tc>
          <w:tcPr>
            <w:tcW w:w="2757" w:type="dxa"/>
            <w:tcBorders>
              <w:top w:val="single" w:sz="4" w:space="0" w:color="auto"/>
              <w:left w:val="single" w:sz="4" w:space="0" w:color="auto"/>
              <w:bottom w:val="single" w:sz="4" w:space="0" w:color="auto"/>
              <w:right w:val="single" w:sz="4" w:space="0" w:color="auto"/>
            </w:tcBorders>
          </w:tcPr>
          <w:p w14:paraId="6051A07A" w14:textId="77777777" w:rsidR="009535B9" w:rsidRPr="00E0001D" w:rsidRDefault="009535B9" w:rsidP="00AF3F7C">
            <w:pPr>
              <w:pStyle w:val="Paragraph"/>
              <w:rPr>
                <w:b/>
              </w:rPr>
            </w:pPr>
            <w:r>
              <w:rPr>
                <w:b/>
              </w:rPr>
              <w:t>Type of data</w:t>
            </w:r>
          </w:p>
        </w:tc>
        <w:tc>
          <w:tcPr>
            <w:tcW w:w="4365" w:type="dxa"/>
            <w:tcBorders>
              <w:top w:val="single" w:sz="4" w:space="0" w:color="auto"/>
              <w:left w:val="single" w:sz="4" w:space="0" w:color="auto"/>
              <w:bottom w:val="single" w:sz="4" w:space="0" w:color="auto"/>
              <w:right w:val="single" w:sz="4" w:space="0" w:color="auto"/>
            </w:tcBorders>
          </w:tcPr>
          <w:p w14:paraId="36865411" w14:textId="4280AEFB" w:rsidR="009535B9" w:rsidRPr="00E0001D" w:rsidRDefault="009535B9" w:rsidP="00AF3F7C">
            <w:pPr>
              <w:pStyle w:val="Paragraph"/>
              <w:rPr>
                <w:b/>
              </w:rPr>
            </w:pPr>
            <w:r>
              <w:rPr>
                <w:b/>
              </w:rPr>
              <w:t xml:space="preserve">Legal basis </w:t>
            </w:r>
          </w:p>
        </w:tc>
      </w:tr>
      <w:tr w:rsidR="00612CDF" w14:paraId="364881E4" w14:textId="77777777" w:rsidTr="00060E33">
        <w:tc>
          <w:tcPr>
            <w:tcW w:w="3560" w:type="dxa"/>
            <w:tcBorders>
              <w:top w:val="single" w:sz="4" w:space="0" w:color="auto"/>
              <w:left w:val="single" w:sz="4" w:space="0" w:color="auto"/>
              <w:bottom w:val="single" w:sz="4" w:space="0" w:color="auto"/>
              <w:right w:val="single" w:sz="4" w:space="0" w:color="auto"/>
            </w:tcBorders>
          </w:tcPr>
          <w:p w14:paraId="616A9FEF" w14:textId="77777777" w:rsidR="009535B9" w:rsidRDefault="009535B9" w:rsidP="00AF3F7C">
            <w:pPr>
              <w:pStyle w:val="Paragraph"/>
            </w:pPr>
            <w:r>
              <w:t>To register you as a new customer</w:t>
            </w:r>
          </w:p>
        </w:tc>
        <w:tc>
          <w:tcPr>
            <w:tcW w:w="2757" w:type="dxa"/>
            <w:tcBorders>
              <w:top w:val="single" w:sz="4" w:space="0" w:color="auto"/>
              <w:left w:val="single" w:sz="4" w:space="0" w:color="auto"/>
              <w:bottom w:val="single" w:sz="4" w:space="0" w:color="auto"/>
              <w:right w:val="single" w:sz="4" w:space="0" w:color="auto"/>
            </w:tcBorders>
          </w:tcPr>
          <w:p w14:paraId="52866EDC" w14:textId="77777777" w:rsidR="009535B9" w:rsidRDefault="009535B9" w:rsidP="00AF3F7C">
            <w:pPr>
              <w:pStyle w:val="Paragraph"/>
            </w:pPr>
            <w:r>
              <w:t xml:space="preserve">(a) Identity </w:t>
            </w:r>
          </w:p>
          <w:p w14:paraId="0A57E25D" w14:textId="77777777" w:rsidR="009535B9" w:rsidRDefault="009535B9" w:rsidP="00AF3F7C">
            <w:pPr>
              <w:pStyle w:val="Paragraph"/>
            </w:pPr>
            <w:r>
              <w:t>(b) Contact</w:t>
            </w:r>
          </w:p>
        </w:tc>
        <w:tc>
          <w:tcPr>
            <w:tcW w:w="4365" w:type="dxa"/>
            <w:tcBorders>
              <w:top w:val="single" w:sz="4" w:space="0" w:color="auto"/>
              <w:left w:val="single" w:sz="4" w:space="0" w:color="auto"/>
              <w:bottom w:val="single" w:sz="4" w:space="0" w:color="auto"/>
              <w:right w:val="single" w:sz="4" w:space="0" w:color="auto"/>
            </w:tcBorders>
          </w:tcPr>
          <w:p w14:paraId="6893C799" w14:textId="77777777" w:rsidR="009535B9" w:rsidRDefault="009535B9" w:rsidP="00AF3F7C">
            <w:pPr>
              <w:pStyle w:val="Paragraph"/>
            </w:pPr>
            <w:r>
              <w:t>Performance of a contract with you</w:t>
            </w:r>
          </w:p>
          <w:p w14:paraId="7A80B263" w14:textId="327B4928" w:rsidR="009535B9" w:rsidRDefault="009535B9" w:rsidP="00AF3F7C">
            <w:pPr>
              <w:pStyle w:val="Paragraph"/>
            </w:pPr>
            <w:r>
              <w:t xml:space="preserve">We will retain this data </w:t>
            </w:r>
            <w:r w:rsidR="00EF4625" w:rsidRPr="00EF4625">
              <w:t xml:space="preserve">for a minimum of </w:t>
            </w:r>
            <w:r w:rsidR="00EF4625" w:rsidRPr="00EF4625">
              <w:rPr>
                <w:b/>
                <w:bCs/>
              </w:rPr>
              <w:t>6 years</w:t>
            </w:r>
            <w:r w:rsidR="00EF4625" w:rsidRPr="00EF4625">
              <w:t xml:space="preserve"> after the closure of a matter, unless there are specific reasons to keep them longer. This is a standard period in relation to civil litigation and contractual matters.</w:t>
            </w:r>
          </w:p>
        </w:tc>
      </w:tr>
      <w:tr w:rsidR="00612CDF" w14:paraId="4399B959" w14:textId="77777777" w:rsidTr="00060E33">
        <w:tc>
          <w:tcPr>
            <w:tcW w:w="3560" w:type="dxa"/>
            <w:tcBorders>
              <w:top w:val="single" w:sz="4" w:space="0" w:color="auto"/>
              <w:left w:val="single" w:sz="4" w:space="0" w:color="auto"/>
              <w:bottom w:val="single" w:sz="4" w:space="0" w:color="auto"/>
              <w:right w:val="single" w:sz="4" w:space="0" w:color="auto"/>
            </w:tcBorders>
          </w:tcPr>
          <w:p w14:paraId="16ABE079" w14:textId="77777777" w:rsidR="009535B9" w:rsidRDefault="009535B9" w:rsidP="00AF3F7C">
            <w:pPr>
              <w:pStyle w:val="Paragraph"/>
            </w:pPr>
            <w:r>
              <w:lastRenderedPageBreak/>
              <w:t>To process and deliver your order including:</w:t>
            </w:r>
          </w:p>
          <w:p w14:paraId="5ACF30DC" w14:textId="77777777" w:rsidR="009535B9" w:rsidRDefault="009535B9" w:rsidP="00AF3F7C">
            <w:pPr>
              <w:pStyle w:val="Paragraph"/>
            </w:pPr>
            <w:r>
              <w:t>(a) Manage payments, fees and charges</w:t>
            </w:r>
          </w:p>
          <w:p w14:paraId="59925CE2" w14:textId="77777777" w:rsidR="009535B9" w:rsidRDefault="009535B9" w:rsidP="00AF3F7C">
            <w:pPr>
              <w:pStyle w:val="Paragraph"/>
            </w:pPr>
            <w:r>
              <w:t>(b) Collect and recover money owed to us</w:t>
            </w:r>
          </w:p>
        </w:tc>
        <w:tc>
          <w:tcPr>
            <w:tcW w:w="2757" w:type="dxa"/>
            <w:tcBorders>
              <w:top w:val="single" w:sz="4" w:space="0" w:color="auto"/>
              <w:left w:val="single" w:sz="4" w:space="0" w:color="auto"/>
              <w:bottom w:val="single" w:sz="4" w:space="0" w:color="auto"/>
              <w:right w:val="single" w:sz="4" w:space="0" w:color="auto"/>
            </w:tcBorders>
          </w:tcPr>
          <w:p w14:paraId="5F0238B2" w14:textId="77777777" w:rsidR="009535B9" w:rsidRDefault="009535B9" w:rsidP="00AF3F7C">
            <w:pPr>
              <w:pStyle w:val="Paragraph"/>
            </w:pPr>
            <w:r>
              <w:t xml:space="preserve">(a) Identity </w:t>
            </w:r>
          </w:p>
          <w:p w14:paraId="7345E266" w14:textId="77777777" w:rsidR="009535B9" w:rsidRDefault="009535B9" w:rsidP="00AF3F7C">
            <w:pPr>
              <w:pStyle w:val="Paragraph"/>
            </w:pPr>
            <w:r>
              <w:t xml:space="preserve">(b) Contact </w:t>
            </w:r>
          </w:p>
          <w:p w14:paraId="5B0B45CF" w14:textId="77777777" w:rsidR="009535B9" w:rsidRDefault="009535B9" w:rsidP="00AF3F7C">
            <w:pPr>
              <w:pStyle w:val="Paragraph"/>
            </w:pPr>
            <w:r>
              <w:t xml:space="preserve">(c) Financial </w:t>
            </w:r>
          </w:p>
          <w:p w14:paraId="5A81FF9F" w14:textId="77777777" w:rsidR="009535B9" w:rsidRDefault="009535B9" w:rsidP="00AF3F7C">
            <w:pPr>
              <w:pStyle w:val="Paragraph"/>
            </w:pPr>
            <w:r>
              <w:t xml:space="preserve">(d) Transaction </w:t>
            </w:r>
          </w:p>
          <w:p w14:paraId="48386668" w14:textId="77777777" w:rsidR="009535B9" w:rsidRDefault="009535B9" w:rsidP="00AF3F7C">
            <w:pPr>
              <w:pStyle w:val="Paragraph"/>
            </w:pPr>
            <w:r>
              <w:t>(e) Marketing and Communications</w:t>
            </w:r>
          </w:p>
        </w:tc>
        <w:tc>
          <w:tcPr>
            <w:tcW w:w="4365" w:type="dxa"/>
            <w:tcBorders>
              <w:top w:val="single" w:sz="4" w:space="0" w:color="auto"/>
              <w:left w:val="single" w:sz="4" w:space="0" w:color="auto"/>
              <w:bottom w:val="single" w:sz="4" w:space="0" w:color="auto"/>
              <w:right w:val="single" w:sz="4" w:space="0" w:color="auto"/>
            </w:tcBorders>
          </w:tcPr>
          <w:p w14:paraId="36BD6FFC" w14:textId="77777777" w:rsidR="009535B9" w:rsidRDefault="009535B9" w:rsidP="00AF3F7C">
            <w:pPr>
              <w:pStyle w:val="Paragraph"/>
            </w:pPr>
            <w:r>
              <w:t xml:space="preserve">(a) Performance of a contract with you </w:t>
            </w:r>
          </w:p>
          <w:p w14:paraId="1C7DE5F9" w14:textId="77777777" w:rsidR="009535B9" w:rsidRDefault="009535B9" w:rsidP="00AF3F7C">
            <w:pPr>
              <w:pStyle w:val="Paragraph"/>
            </w:pPr>
            <w:r>
              <w:t>(b) Necessary for our legitimate interests (to recover debts due to us)</w:t>
            </w:r>
          </w:p>
          <w:p w14:paraId="17D0E2CE" w14:textId="49494434" w:rsidR="009535B9" w:rsidRDefault="00EF4625" w:rsidP="00AF3F7C">
            <w:pPr>
              <w:pStyle w:val="Paragraph"/>
            </w:pPr>
            <w:r>
              <w:t xml:space="preserve">We will retain this data </w:t>
            </w:r>
            <w:r w:rsidRPr="00EF4625">
              <w:t xml:space="preserve">for a minimum of </w:t>
            </w:r>
            <w:r w:rsidRPr="00EF4625">
              <w:rPr>
                <w:b/>
                <w:bCs/>
              </w:rPr>
              <w:t>6 years</w:t>
            </w:r>
            <w:r w:rsidRPr="00EF4625">
              <w:t xml:space="preserve"> after the closure of a matter, unless there are specific reasons to keep them longer. This is a standard period in relation to civil litigation and contractual matters.</w:t>
            </w:r>
          </w:p>
        </w:tc>
      </w:tr>
      <w:tr w:rsidR="00612CDF" w14:paraId="309E9DA2" w14:textId="77777777" w:rsidTr="00060E33">
        <w:tc>
          <w:tcPr>
            <w:tcW w:w="3560" w:type="dxa"/>
            <w:tcBorders>
              <w:top w:val="single" w:sz="4" w:space="0" w:color="auto"/>
              <w:left w:val="single" w:sz="4" w:space="0" w:color="auto"/>
              <w:bottom w:val="single" w:sz="4" w:space="0" w:color="auto"/>
              <w:right w:val="single" w:sz="4" w:space="0" w:color="auto"/>
            </w:tcBorders>
          </w:tcPr>
          <w:p w14:paraId="7B68743A" w14:textId="77777777" w:rsidR="009535B9" w:rsidRDefault="009535B9" w:rsidP="00AF3F7C">
            <w:pPr>
              <w:pStyle w:val="Paragraph"/>
            </w:pPr>
            <w:r>
              <w:t>To manage our relationship with you which will include:</w:t>
            </w:r>
          </w:p>
          <w:p w14:paraId="713FE0A9" w14:textId="77777777" w:rsidR="009535B9" w:rsidRDefault="009535B9" w:rsidP="00AF3F7C">
            <w:pPr>
              <w:pStyle w:val="Paragraph"/>
            </w:pPr>
            <w:r>
              <w:t>(a) Notifying you about changes to our terms or privacy policy</w:t>
            </w:r>
          </w:p>
          <w:p w14:paraId="3A9A9C85" w14:textId="77777777" w:rsidR="009535B9" w:rsidRDefault="009535B9" w:rsidP="00AF3F7C">
            <w:pPr>
              <w:pStyle w:val="Paragraph"/>
            </w:pPr>
            <w:r>
              <w:t>(b) Dealing with your requests, complaints and queries</w:t>
            </w:r>
          </w:p>
        </w:tc>
        <w:tc>
          <w:tcPr>
            <w:tcW w:w="2757" w:type="dxa"/>
            <w:tcBorders>
              <w:top w:val="single" w:sz="4" w:space="0" w:color="auto"/>
              <w:left w:val="single" w:sz="4" w:space="0" w:color="auto"/>
              <w:bottom w:val="single" w:sz="4" w:space="0" w:color="auto"/>
              <w:right w:val="single" w:sz="4" w:space="0" w:color="auto"/>
            </w:tcBorders>
          </w:tcPr>
          <w:p w14:paraId="58736E29" w14:textId="77777777" w:rsidR="009535B9" w:rsidRDefault="009535B9" w:rsidP="00AF3F7C">
            <w:pPr>
              <w:pStyle w:val="Paragraph"/>
            </w:pPr>
            <w:r>
              <w:t xml:space="preserve">(a) Identity </w:t>
            </w:r>
          </w:p>
          <w:p w14:paraId="5F55FE8C" w14:textId="77777777" w:rsidR="009535B9" w:rsidRDefault="009535B9" w:rsidP="00AF3F7C">
            <w:pPr>
              <w:pStyle w:val="Paragraph"/>
            </w:pPr>
            <w:r>
              <w:t xml:space="preserve">(b) Contact </w:t>
            </w:r>
          </w:p>
          <w:p w14:paraId="01133108" w14:textId="77777777" w:rsidR="009535B9" w:rsidRDefault="009535B9" w:rsidP="00AF3F7C">
            <w:pPr>
              <w:pStyle w:val="Paragraph"/>
            </w:pPr>
            <w:r>
              <w:t xml:space="preserve">(c) Profile </w:t>
            </w:r>
          </w:p>
          <w:p w14:paraId="584CB029" w14:textId="77777777" w:rsidR="009535B9" w:rsidRDefault="009535B9" w:rsidP="00AF3F7C">
            <w:pPr>
              <w:pStyle w:val="Paragraph"/>
            </w:pPr>
            <w:r>
              <w:t>(d) Marketing and Communications</w:t>
            </w:r>
          </w:p>
        </w:tc>
        <w:tc>
          <w:tcPr>
            <w:tcW w:w="4365" w:type="dxa"/>
            <w:tcBorders>
              <w:top w:val="single" w:sz="4" w:space="0" w:color="auto"/>
              <w:left w:val="single" w:sz="4" w:space="0" w:color="auto"/>
              <w:bottom w:val="single" w:sz="4" w:space="0" w:color="auto"/>
              <w:right w:val="single" w:sz="4" w:space="0" w:color="auto"/>
            </w:tcBorders>
          </w:tcPr>
          <w:p w14:paraId="110EEDD7" w14:textId="77777777" w:rsidR="009535B9" w:rsidRDefault="009535B9" w:rsidP="00AF3F7C">
            <w:pPr>
              <w:pStyle w:val="Paragraph"/>
            </w:pPr>
            <w:r>
              <w:t xml:space="preserve">(a) Performance of a contract with you </w:t>
            </w:r>
          </w:p>
          <w:p w14:paraId="04C700FD" w14:textId="77777777" w:rsidR="009535B9" w:rsidRDefault="009535B9" w:rsidP="00AF3F7C">
            <w:pPr>
              <w:pStyle w:val="Paragraph"/>
            </w:pPr>
            <w:r>
              <w:t>(b) Necessary to comply with a legal obligation</w:t>
            </w:r>
          </w:p>
          <w:p w14:paraId="617DA002" w14:textId="77777777" w:rsidR="009535B9" w:rsidRDefault="009535B9" w:rsidP="00AF3F7C">
            <w:pPr>
              <w:pStyle w:val="Paragraph"/>
            </w:pPr>
            <w:r>
              <w:t>(c) Necessary for our legitimate interests (to keep our records updated and manage our relationship with you</w:t>
            </w:r>
          </w:p>
          <w:p w14:paraId="0E24B0C8" w14:textId="60D762CD" w:rsidR="009535B9" w:rsidRDefault="00EF4625" w:rsidP="00AF3F7C">
            <w:pPr>
              <w:pStyle w:val="Paragraph"/>
            </w:pPr>
            <w:r>
              <w:t xml:space="preserve">We will retain this data </w:t>
            </w:r>
            <w:r w:rsidRPr="00EF4625">
              <w:t xml:space="preserve">for a minimum of </w:t>
            </w:r>
            <w:r w:rsidRPr="00EF4625">
              <w:rPr>
                <w:b/>
                <w:bCs/>
              </w:rPr>
              <w:t>6 years</w:t>
            </w:r>
            <w:r w:rsidRPr="00EF4625">
              <w:t xml:space="preserve"> after the closure of a matter, unless there are specific reasons to keep them longer. This is a standard period in relation to civil litigation and contractual matters.</w:t>
            </w:r>
          </w:p>
        </w:tc>
      </w:tr>
      <w:tr w:rsidR="00612CDF" w14:paraId="4E175D74" w14:textId="77777777" w:rsidTr="00060E33">
        <w:tc>
          <w:tcPr>
            <w:tcW w:w="3560" w:type="dxa"/>
            <w:tcBorders>
              <w:top w:val="single" w:sz="4" w:space="0" w:color="auto"/>
              <w:left w:val="single" w:sz="4" w:space="0" w:color="auto"/>
              <w:bottom w:val="single" w:sz="4" w:space="0" w:color="auto"/>
              <w:right w:val="single" w:sz="4" w:space="0" w:color="auto"/>
            </w:tcBorders>
          </w:tcPr>
          <w:p w14:paraId="04C5D62B" w14:textId="77777777" w:rsidR="009535B9" w:rsidRDefault="009535B9" w:rsidP="00AF3F7C">
            <w:pPr>
              <w:pStyle w:val="Paragraph"/>
            </w:pPr>
            <w:r>
              <w:t xml:space="preserve">To administer and protect our business and this website (including troubleshooting, data analysis, testing, system maintenance, support, reporting and hosting of data)  </w:t>
            </w:r>
          </w:p>
        </w:tc>
        <w:tc>
          <w:tcPr>
            <w:tcW w:w="2757" w:type="dxa"/>
            <w:tcBorders>
              <w:top w:val="single" w:sz="4" w:space="0" w:color="auto"/>
              <w:left w:val="single" w:sz="4" w:space="0" w:color="auto"/>
              <w:bottom w:val="single" w:sz="4" w:space="0" w:color="auto"/>
              <w:right w:val="single" w:sz="4" w:space="0" w:color="auto"/>
            </w:tcBorders>
          </w:tcPr>
          <w:p w14:paraId="34B5D66F" w14:textId="77777777" w:rsidR="009535B9" w:rsidRDefault="009535B9" w:rsidP="00AF3F7C">
            <w:pPr>
              <w:pStyle w:val="Paragraph"/>
            </w:pPr>
            <w:r>
              <w:t>(a) Identity</w:t>
            </w:r>
          </w:p>
          <w:p w14:paraId="3EF03D9C" w14:textId="77777777" w:rsidR="009535B9" w:rsidRDefault="009535B9" w:rsidP="00AF3F7C">
            <w:pPr>
              <w:pStyle w:val="Paragraph"/>
            </w:pPr>
            <w:r>
              <w:t>(b) Contact</w:t>
            </w:r>
          </w:p>
          <w:p w14:paraId="217868FC" w14:textId="77777777" w:rsidR="009535B9" w:rsidRDefault="009535B9" w:rsidP="00AF3F7C">
            <w:pPr>
              <w:pStyle w:val="Paragraph"/>
            </w:pPr>
            <w:r>
              <w:t>(c) Technical</w:t>
            </w:r>
          </w:p>
        </w:tc>
        <w:tc>
          <w:tcPr>
            <w:tcW w:w="4365" w:type="dxa"/>
            <w:tcBorders>
              <w:top w:val="single" w:sz="4" w:space="0" w:color="auto"/>
              <w:left w:val="single" w:sz="4" w:space="0" w:color="auto"/>
              <w:bottom w:val="single" w:sz="4" w:space="0" w:color="auto"/>
              <w:right w:val="single" w:sz="4" w:space="0" w:color="auto"/>
            </w:tcBorders>
          </w:tcPr>
          <w:p w14:paraId="236040D3" w14:textId="77777777" w:rsidR="009535B9" w:rsidRDefault="009535B9" w:rsidP="00AF3F7C">
            <w:pPr>
              <w:pStyle w:val="Paragraph"/>
            </w:pPr>
            <w:r>
              <w:t>(a) Necessary for our legitimate interests (for running our business, provision of administration and IT services, network security, to prevent fraud and in the context of a business reorganisation or group restructuring exercise)</w:t>
            </w:r>
          </w:p>
          <w:p w14:paraId="3EA397C0" w14:textId="77777777" w:rsidR="009535B9" w:rsidRDefault="009535B9" w:rsidP="00AF3F7C">
            <w:pPr>
              <w:pStyle w:val="Paragraph"/>
            </w:pPr>
            <w:r>
              <w:t>(b) Necessary to comply with a legal obligation</w:t>
            </w:r>
          </w:p>
          <w:p w14:paraId="4164AB95" w14:textId="69BB6303" w:rsidR="009535B9" w:rsidRPr="00C21D3B" w:rsidRDefault="00EF4625" w:rsidP="00AF3F7C">
            <w:pPr>
              <w:pStyle w:val="Paragraph"/>
            </w:pPr>
            <w:r>
              <w:t xml:space="preserve">We will retain this data </w:t>
            </w:r>
            <w:r w:rsidRPr="00EF4625">
              <w:t xml:space="preserve">for a minimum of </w:t>
            </w:r>
            <w:r w:rsidRPr="00EF4625">
              <w:rPr>
                <w:b/>
                <w:bCs/>
              </w:rPr>
              <w:t>6 years</w:t>
            </w:r>
            <w:r w:rsidRPr="00EF4625">
              <w:t xml:space="preserve"> after the closure of a matter, unless there are specific reasons to keep them longer. This is a standard period in relation to civil litigation and contractual matters.</w:t>
            </w:r>
          </w:p>
        </w:tc>
      </w:tr>
      <w:tr w:rsidR="00612CDF" w14:paraId="49F5A2CB" w14:textId="77777777" w:rsidTr="00060E33">
        <w:tc>
          <w:tcPr>
            <w:tcW w:w="3560" w:type="dxa"/>
            <w:tcBorders>
              <w:top w:val="single" w:sz="4" w:space="0" w:color="auto"/>
              <w:left w:val="single" w:sz="4" w:space="0" w:color="auto"/>
              <w:bottom w:val="single" w:sz="4" w:space="0" w:color="auto"/>
              <w:right w:val="single" w:sz="4" w:space="0" w:color="auto"/>
            </w:tcBorders>
          </w:tcPr>
          <w:p w14:paraId="7168FB50" w14:textId="77777777" w:rsidR="009535B9" w:rsidRDefault="009535B9" w:rsidP="00AF3F7C">
            <w:pPr>
              <w:pStyle w:val="Paragraph"/>
            </w:pPr>
            <w:r>
              <w:t>To deliver relevant website content and online advertisements to you and measure or understand the effectiveness of the advertising we serve to you</w:t>
            </w:r>
          </w:p>
        </w:tc>
        <w:tc>
          <w:tcPr>
            <w:tcW w:w="2757" w:type="dxa"/>
            <w:tcBorders>
              <w:top w:val="single" w:sz="4" w:space="0" w:color="auto"/>
              <w:left w:val="single" w:sz="4" w:space="0" w:color="auto"/>
              <w:bottom w:val="single" w:sz="4" w:space="0" w:color="auto"/>
              <w:right w:val="single" w:sz="4" w:space="0" w:color="auto"/>
            </w:tcBorders>
          </w:tcPr>
          <w:p w14:paraId="637E1389" w14:textId="77777777" w:rsidR="009535B9" w:rsidRDefault="009535B9" w:rsidP="00AF3F7C">
            <w:pPr>
              <w:pStyle w:val="Paragraph"/>
            </w:pPr>
            <w:r>
              <w:t xml:space="preserve">(a) Identity </w:t>
            </w:r>
          </w:p>
          <w:p w14:paraId="76C06920" w14:textId="77777777" w:rsidR="009535B9" w:rsidRDefault="009535B9" w:rsidP="00AF3F7C">
            <w:pPr>
              <w:pStyle w:val="Paragraph"/>
            </w:pPr>
            <w:r>
              <w:t xml:space="preserve">(b) Contact </w:t>
            </w:r>
          </w:p>
          <w:p w14:paraId="4E8DE237" w14:textId="77777777" w:rsidR="009535B9" w:rsidRDefault="009535B9" w:rsidP="00AF3F7C">
            <w:pPr>
              <w:pStyle w:val="Paragraph"/>
            </w:pPr>
            <w:r>
              <w:t xml:space="preserve">(c) Profile </w:t>
            </w:r>
          </w:p>
          <w:p w14:paraId="342C3FE8" w14:textId="77777777" w:rsidR="009535B9" w:rsidRDefault="009535B9" w:rsidP="00AF3F7C">
            <w:pPr>
              <w:pStyle w:val="Paragraph"/>
            </w:pPr>
            <w:r>
              <w:t xml:space="preserve">(d) Usage </w:t>
            </w:r>
          </w:p>
          <w:p w14:paraId="209C7EA6" w14:textId="77777777" w:rsidR="009535B9" w:rsidRDefault="009535B9" w:rsidP="00AF3F7C">
            <w:pPr>
              <w:pStyle w:val="Paragraph"/>
            </w:pPr>
            <w:r>
              <w:t xml:space="preserve">(e) Marketing and Communications </w:t>
            </w:r>
          </w:p>
          <w:p w14:paraId="2EB37834" w14:textId="77777777" w:rsidR="009535B9" w:rsidRDefault="009535B9" w:rsidP="00AF3F7C">
            <w:pPr>
              <w:pStyle w:val="Paragraph"/>
            </w:pPr>
            <w:r>
              <w:t xml:space="preserve">(f) Technical </w:t>
            </w:r>
          </w:p>
        </w:tc>
        <w:tc>
          <w:tcPr>
            <w:tcW w:w="4365" w:type="dxa"/>
            <w:tcBorders>
              <w:top w:val="single" w:sz="4" w:space="0" w:color="auto"/>
              <w:left w:val="single" w:sz="4" w:space="0" w:color="auto"/>
              <w:bottom w:val="single" w:sz="4" w:space="0" w:color="auto"/>
              <w:right w:val="single" w:sz="4" w:space="0" w:color="auto"/>
            </w:tcBorders>
          </w:tcPr>
          <w:p w14:paraId="36172AD3" w14:textId="77777777" w:rsidR="009535B9" w:rsidRDefault="009535B9" w:rsidP="00AF3F7C">
            <w:pPr>
              <w:pStyle w:val="Paragraph"/>
            </w:pPr>
            <w:r>
              <w:t>Necessary for our legitimate interests (to study how customers use our products/services, to develop them, to grow our business and to inform our marketing strategy)</w:t>
            </w:r>
          </w:p>
          <w:p w14:paraId="78B16ED4" w14:textId="02EDBC56" w:rsidR="009535B9" w:rsidRPr="00C21D3B" w:rsidRDefault="00EF4625" w:rsidP="00AF3F7C">
            <w:pPr>
              <w:pStyle w:val="Paragraph"/>
            </w:pPr>
            <w:r>
              <w:t xml:space="preserve">We will retain this data </w:t>
            </w:r>
            <w:r w:rsidRPr="00EF4625">
              <w:t xml:space="preserve">for a minimum of </w:t>
            </w:r>
            <w:r w:rsidRPr="00EF4625">
              <w:rPr>
                <w:b/>
                <w:bCs/>
              </w:rPr>
              <w:t>6 years</w:t>
            </w:r>
            <w:r w:rsidRPr="00EF4625">
              <w:t xml:space="preserve"> after the closure of a matter, unless there are specific reasons to keep them longer. This is a standard period in </w:t>
            </w:r>
            <w:r w:rsidRPr="00EF4625">
              <w:lastRenderedPageBreak/>
              <w:t>relation to civil litigation and contractual matters.</w:t>
            </w:r>
          </w:p>
        </w:tc>
      </w:tr>
      <w:tr w:rsidR="00612CDF" w14:paraId="158A3002" w14:textId="77777777" w:rsidTr="00060E33">
        <w:tc>
          <w:tcPr>
            <w:tcW w:w="3560" w:type="dxa"/>
            <w:tcBorders>
              <w:top w:val="single" w:sz="4" w:space="0" w:color="auto"/>
              <w:left w:val="single" w:sz="4" w:space="0" w:color="auto"/>
              <w:bottom w:val="single" w:sz="4" w:space="0" w:color="auto"/>
              <w:right w:val="single" w:sz="4" w:space="0" w:color="auto"/>
            </w:tcBorders>
          </w:tcPr>
          <w:p w14:paraId="6F730F40" w14:textId="77777777" w:rsidR="009535B9" w:rsidRDefault="009535B9" w:rsidP="00AF3F7C">
            <w:pPr>
              <w:pStyle w:val="Paragraph"/>
            </w:pPr>
            <w:r>
              <w:lastRenderedPageBreak/>
              <w:t>To use data analytics to improve our website, products/services, customer relationships and experiences and to measure the effectiveness of our communications and marketing</w:t>
            </w:r>
          </w:p>
        </w:tc>
        <w:tc>
          <w:tcPr>
            <w:tcW w:w="2757" w:type="dxa"/>
            <w:tcBorders>
              <w:top w:val="single" w:sz="4" w:space="0" w:color="auto"/>
              <w:left w:val="single" w:sz="4" w:space="0" w:color="auto"/>
              <w:bottom w:val="single" w:sz="4" w:space="0" w:color="auto"/>
              <w:right w:val="single" w:sz="4" w:space="0" w:color="auto"/>
            </w:tcBorders>
          </w:tcPr>
          <w:p w14:paraId="2C1CEB5C" w14:textId="77777777" w:rsidR="009535B9" w:rsidRDefault="009535B9" w:rsidP="00AF3F7C">
            <w:pPr>
              <w:pStyle w:val="Paragraph"/>
            </w:pPr>
            <w:r>
              <w:t xml:space="preserve">(a) Technical </w:t>
            </w:r>
          </w:p>
          <w:p w14:paraId="6C7DEB7B" w14:textId="77777777" w:rsidR="009535B9" w:rsidRDefault="009535B9" w:rsidP="00AF3F7C">
            <w:pPr>
              <w:pStyle w:val="Paragraph"/>
            </w:pPr>
            <w:r>
              <w:t xml:space="preserve">(b) Usage </w:t>
            </w:r>
          </w:p>
        </w:tc>
        <w:tc>
          <w:tcPr>
            <w:tcW w:w="4365" w:type="dxa"/>
            <w:tcBorders>
              <w:top w:val="single" w:sz="4" w:space="0" w:color="auto"/>
              <w:left w:val="single" w:sz="4" w:space="0" w:color="auto"/>
              <w:bottom w:val="single" w:sz="4" w:space="0" w:color="auto"/>
              <w:right w:val="single" w:sz="4" w:space="0" w:color="auto"/>
            </w:tcBorders>
          </w:tcPr>
          <w:p w14:paraId="7D072101" w14:textId="556E7008" w:rsidR="009535B9" w:rsidRPr="00C21D3B" w:rsidRDefault="009535B9" w:rsidP="00AF3F7C">
            <w:pPr>
              <w:pStyle w:val="Paragraph"/>
            </w:pPr>
            <w:r>
              <w:t>Necessary for our legitimate interests (to define types of customers for our products and services, to keep our website updated and relevant, to develop our business and to inform our marketing strategy)</w:t>
            </w:r>
          </w:p>
        </w:tc>
      </w:tr>
      <w:tr w:rsidR="00612CDF" w14:paraId="62FA40A0" w14:textId="77777777" w:rsidTr="00060E33">
        <w:tc>
          <w:tcPr>
            <w:tcW w:w="3560" w:type="dxa"/>
            <w:tcBorders>
              <w:top w:val="single" w:sz="4" w:space="0" w:color="auto"/>
              <w:left w:val="single" w:sz="4" w:space="0" w:color="auto"/>
              <w:bottom w:val="single" w:sz="4" w:space="0" w:color="auto"/>
              <w:right w:val="single" w:sz="4" w:space="0" w:color="auto"/>
            </w:tcBorders>
          </w:tcPr>
          <w:p w14:paraId="71606DF4" w14:textId="77777777" w:rsidR="009535B9" w:rsidRDefault="009535B9" w:rsidP="00AF3F7C">
            <w:pPr>
              <w:pStyle w:val="Paragraph"/>
            </w:pPr>
            <w:r>
              <w:t>To send you relevant marketing communications and make personalised suggestions and recommendations to you about goods or services that may be of interest to you based on your Profile Data</w:t>
            </w:r>
          </w:p>
        </w:tc>
        <w:tc>
          <w:tcPr>
            <w:tcW w:w="2757" w:type="dxa"/>
            <w:tcBorders>
              <w:top w:val="single" w:sz="4" w:space="0" w:color="auto"/>
              <w:left w:val="single" w:sz="4" w:space="0" w:color="auto"/>
              <w:bottom w:val="single" w:sz="4" w:space="0" w:color="auto"/>
              <w:right w:val="single" w:sz="4" w:space="0" w:color="auto"/>
            </w:tcBorders>
          </w:tcPr>
          <w:p w14:paraId="1B671072" w14:textId="77777777" w:rsidR="009535B9" w:rsidRDefault="009535B9" w:rsidP="00AF3F7C">
            <w:pPr>
              <w:pStyle w:val="Paragraph"/>
            </w:pPr>
            <w:r>
              <w:t xml:space="preserve">(a) Identity </w:t>
            </w:r>
          </w:p>
          <w:p w14:paraId="5BEEA0FB" w14:textId="77777777" w:rsidR="009535B9" w:rsidRDefault="009535B9" w:rsidP="00AF3F7C">
            <w:pPr>
              <w:pStyle w:val="Paragraph"/>
            </w:pPr>
            <w:r>
              <w:t xml:space="preserve">(b) Contact </w:t>
            </w:r>
          </w:p>
          <w:p w14:paraId="6CA2A688" w14:textId="77777777" w:rsidR="009535B9" w:rsidRPr="00847FE4" w:rsidRDefault="009535B9" w:rsidP="00AF3F7C">
            <w:pPr>
              <w:pStyle w:val="Paragraph"/>
              <w:rPr>
                <w:lang w:val="fr-FR"/>
              </w:rPr>
            </w:pPr>
            <w:r>
              <w:t xml:space="preserve">(c) Technical </w:t>
            </w:r>
          </w:p>
          <w:p w14:paraId="36DB9815" w14:textId="77777777" w:rsidR="009535B9" w:rsidRPr="00FF05C9" w:rsidRDefault="009535B9" w:rsidP="00AF3F7C">
            <w:pPr>
              <w:pStyle w:val="Paragraph"/>
              <w:rPr>
                <w:lang w:val="fr-FR"/>
              </w:rPr>
            </w:pPr>
            <w:r>
              <w:rPr>
                <w:lang w:val="fr-FR"/>
              </w:rPr>
              <w:t xml:space="preserve">(d) Usage </w:t>
            </w:r>
          </w:p>
          <w:p w14:paraId="21662E07" w14:textId="77777777" w:rsidR="009535B9" w:rsidRDefault="009535B9" w:rsidP="00AF3F7C">
            <w:pPr>
              <w:pStyle w:val="Paragraph"/>
              <w:rPr>
                <w:lang w:val="fr-FR"/>
              </w:rPr>
            </w:pPr>
            <w:r>
              <w:rPr>
                <w:lang w:val="fr-FR"/>
              </w:rPr>
              <w:t xml:space="preserve">(e) Profile </w:t>
            </w:r>
          </w:p>
          <w:p w14:paraId="6800988F" w14:textId="77777777" w:rsidR="009535B9" w:rsidRPr="00FF05C9" w:rsidRDefault="009535B9" w:rsidP="00AF3F7C">
            <w:pPr>
              <w:pStyle w:val="Paragraph"/>
              <w:rPr>
                <w:lang w:val="fr-FR"/>
              </w:rPr>
            </w:pPr>
            <w:r>
              <w:rPr>
                <w:lang w:val="fr-FR"/>
              </w:rPr>
              <w:t>(f) Marketing and Communications</w:t>
            </w:r>
          </w:p>
        </w:tc>
        <w:tc>
          <w:tcPr>
            <w:tcW w:w="4365" w:type="dxa"/>
            <w:tcBorders>
              <w:top w:val="single" w:sz="4" w:space="0" w:color="auto"/>
              <w:left w:val="single" w:sz="4" w:space="0" w:color="auto"/>
              <w:bottom w:val="single" w:sz="4" w:space="0" w:color="auto"/>
              <w:right w:val="single" w:sz="4" w:space="0" w:color="auto"/>
            </w:tcBorders>
          </w:tcPr>
          <w:p w14:paraId="79E993DE" w14:textId="26190E92" w:rsidR="00EF4625" w:rsidRPr="00C21D3B" w:rsidRDefault="009535B9" w:rsidP="00EF4625">
            <w:pPr>
              <w:pStyle w:val="Paragraph"/>
            </w:pPr>
            <w:r>
              <w:t xml:space="preserve">Necessary for our legitimate interests (to carry out direct marketing, develop our products/services and grow our business) </w:t>
            </w:r>
          </w:p>
          <w:p w14:paraId="2CEEDF53" w14:textId="08CCD22E" w:rsidR="009535B9" w:rsidRPr="00C21D3B" w:rsidRDefault="009535B9" w:rsidP="00AF3F7C">
            <w:pPr>
              <w:pStyle w:val="Paragraph"/>
            </w:pPr>
          </w:p>
        </w:tc>
      </w:tr>
      <w:tr w:rsidR="00612CDF" w14:paraId="48691391" w14:textId="77777777" w:rsidTr="00060E33">
        <w:tc>
          <w:tcPr>
            <w:tcW w:w="3560" w:type="dxa"/>
            <w:tcBorders>
              <w:top w:val="single" w:sz="4" w:space="0" w:color="auto"/>
              <w:left w:val="single" w:sz="4" w:space="0" w:color="auto"/>
              <w:bottom w:val="single" w:sz="4" w:space="0" w:color="auto"/>
              <w:right w:val="single" w:sz="4" w:space="0" w:color="auto"/>
            </w:tcBorders>
          </w:tcPr>
          <w:p w14:paraId="358E3349" w14:textId="77777777" w:rsidR="009535B9" w:rsidRDefault="009535B9" w:rsidP="00AF3F7C">
            <w:pPr>
              <w:pStyle w:val="Paragraph"/>
            </w:pPr>
            <w:r>
              <w:t>To carry out market research through your voluntary participation in surveys</w:t>
            </w:r>
          </w:p>
        </w:tc>
        <w:tc>
          <w:tcPr>
            <w:tcW w:w="2757" w:type="dxa"/>
            <w:tcBorders>
              <w:top w:val="single" w:sz="4" w:space="0" w:color="auto"/>
              <w:left w:val="single" w:sz="4" w:space="0" w:color="auto"/>
              <w:bottom w:val="single" w:sz="4" w:space="0" w:color="auto"/>
              <w:right w:val="single" w:sz="4" w:space="0" w:color="auto"/>
            </w:tcBorders>
          </w:tcPr>
          <w:p w14:paraId="2B524658" w14:textId="77777777" w:rsidR="009535B9" w:rsidRDefault="009535B9" w:rsidP="00AF3F7C">
            <w:pPr>
              <w:pStyle w:val="Paragraph"/>
            </w:pPr>
          </w:p>
        </w:tc>
        <w:tc>
          <w:tcPr>
            <w:tcW w:w="4365" w:type="dxa"/>
            <w:tcBorders>
              <w:top w:val="single" w:sz="4" w:space="0" w:color="auto"/>
              <w:left w:val="single" w:sz="4" w:space="0" w:color="auto"/>
              <w:bottom w:val="single" w:sz="4" w:space="0" w:color="auto"/>
              <w:right w:val="single" w:sz="4" w:space="0" w:color="auto"/>
            </w:tcBorders>
          </w:tcPr>
          <w:p w14:paraId="785AA496" w14:textId="767BDB29" w:rsidR="009535B9" w:rsidRDefault="009535B9" w:rsidP="00AF3F7C">
            <w:pPr>
              <w:pStyle w:val="Paragraph"/>
            </w:pPr>
            <w:r>
              <w:t xml:space="preserve">Necessary for our legitimate interests (to study how customers use our products/services and to help us improve and develop our products and services). </w:t>
            </w:r>
          </w:p>
        </w:tc>
      </w:tr>
    </w:tbl>
    <w:p w14:paraId="02206BEF" w14:textId="77777777" w:rsidR="009535B9" w:rsidRPr="00850A81" w:rsidRDefault="009535B9" w:rsidP="00E62330">
      <w:pPr>
        <w:pStyle w:val="NoNumTitle-Clause"/>
        <w:ind w:left="0"/>
      </w:pPr>
      <w:bookmarkStart w:id="34" w:name="a602347"/>
      <w:r>
        <w:t xml:space="preserve">Direct marketing </w:t>
      </w:r>
      <w:bookmarkEnd w:id="34"/>
    </w:p>
    <w:p w14:paraId="30D96387" w14:textId="4705C82A" w:rsidR="009535B9" w:rsidRPr="00203C8A" w:rsidRDefault="009535B9" w:rsidP="00E62330">
      <w:pPr>
        <w:pStyle w:val="NoNumUntitledClause"/>
        <w:ind w:left="0"/>
      </w:pPr>
      <w:bookmarkStart w:id="35" w:name="a724870"/>
      <w:r>
        <w:t xml:space="preserve">During the </w:t>
      </w:r>
      <w:r>
        <w:t xml:space="preserve">process on our website when your personal data is collected, you will </w:t>
      </w:r>
      <w:r>
        <w:t>receive marketing communications from us if you have requested information from us or purchased goods or services from us and you have not opted out of receiving the marketing.</w:t>
      </w:r>
      <w:bookmarkEnd w:id="35"/>
    </w:p>
    <w:p w14:paraId="1ECBF243" w14:textId="77777777" w:rsidR="009535B9" w:rsidRPr="00DA484D" w:rsidRDefault="009535B9" w:rsidP="00E62330">
      <w:pPr>
        <w:pStyle w:val="NoNumUntitledClause"/>
        <w:ind w:left="0"/>
      </w:pPr>
      <w:bookmarkStart w:id="36" w:name="a295679"/>
      <w:r>
        <w:t xml:space="preserve">We may also analyse your Identity, Contact, Technical, Usage and Profile Data to form a view which products, services and offers may be of interest to you so that we can then send you relevant marketing communications. </w:t>
      </w:r>
      <w:bookmarkEnd w:id="36"/>
    </w:p>
    <w:p w14:paraId="1119B202" w14:textId="77777777" w:rsidR="009535B9" w:rsidRDefault="009535B9" w:rsidP="00E62330">
      <w:pPr>
        <w:pStyle w:val="NoNumTitle-Clause"/>
        <w:ind w:left="0"/>
      </w:pPr>
      <w:bookmarkStart w:id="37" w:name="a539561"/>
      <w:r>
        <w:t xml:space="preserve">Third-party marketing </w:t>
      </w:r>
      <w:bookmarkEnd w:id="37"/>
    </w:p>
    <w:p w14:paraId="21CEBD03" w14:textId="2BFEB7DE" w:rsidR="009535B9" w:rsidRDefault="009535B9" w:rsidP="00E62330">
      <w:pPr>
        <w:pStyle w:val="ParaClause"/>
        <w:ind w:left="0"/>
      </w:pPr>
      <w:r>
        <w:t xml:space="preserve">We will get your express consent before we share your personal data with any third party for their own direct marketing purposes. </w:t>
      </w:r>
    </w:p>
    <w:p w14:paraId="1335DE1B" w14:textId="77777777" w:rsidR="009535B9" w:rsidRDefault="009535B9" w:rsidP="00E62330">
      <w:pPr>
        <w:pStyle w:val="NoNumTitle-Clause"/>
        <w:ind w:left="0"/>
      </w:pPr>
      <w:bookmarkStart w:id="38" w:name="a879432"/>
      <w:r>
        <w:t xml:space="preserve">Opting out of marketing </w:t>
      </w:r>
      <w:bookmarkEnd w:id="38"/>
    </w:p>
    <w:p w14:paraId="6F6B601C" w14:textId="77777777" w:rsidR="006A2BD5" w:rsidRDefault="009535B9" w:rsidP="006A2BD5">
      <w:pPr>
        <w:pStyle w:val="ParaClause"/>
        <w:ind w:left="0"/>
      </w:pPr>
      <w:bookmarkStart w:id="39" w:name="a603355"/>
      <w:r>
        <w:t xml:space="preserve">You can ask to stop sending you marketing communications at any time </w:t>
      </w:r>
      <w:r>
        <w:t xml:space="preserve">by logging into the website and checking or unchecking relevant boxes to adjust your marketing preferences </w:t>
      </w:r>
      <w:r>
        <w:t xml:space="preserve">or by contacting us </w:t>
      </w:r>
      <w:r w:rsidR="006A2BD5">
        <w:t xml:space="preserve">via </w:t>
      </w:r>
      <w:hyperlink r:id="rId11" w:history="1">
        <w:r w:rsidR="006A2BD5" w:rsidRPr="00355CD8">
          <w:rPr>
            <w:rStyle w:val="Hyperlink"/>
          </w:rPr>
          <w:t>mail@internationallawconnection.co.uk</w:t>
        </w:r>
      </w:hyperlink>
    </w:p>
    <w:p w14:paraId="68DDD182" w14:textId="4C25F83F" w:rsidR="009535B9" w:rsidRDefault="009535B9" w:rsidP="00E62330">
      <w:pPr>
        <w:pStyle w:val="NoNumUntitledClause"/>
        <w:ind w:left="0"/>
      </w:pPr>
      <w:bookmarkStart w:id="40" w:name="a697118"/>
      <w:bookmarkEnd w:id="39"/>
      <w:r>
        <w:t xml:space="preserve">If you opt out of receiving marketing communications, you will still receive service-related communications that are essential for administrative or customer service purposes </w:t>
      </w:r>
      <w:r>
        <w:t xml:space="preserve">for example relating to </w:t>
      </w:r>
      <w:r>
        <w:t xml:space="preserve">order confirmations </w:t>
      </w:r>
      <w:r>
        <w:lastRenderedPageBreak/>
        <w:t xml:space="preserve">for </w:t>
      </w:r>
      <w:r>
        <w:t>a product/service warranty registration, appointment reminders, updates to our Terms and Conditions, checking that your contact details are correct</w:t>
      </w:r>
      <w:r>
        <w:t>.</w:t>
      </w:r>
      <w:bookmarkEnd w:id="40"/>
    </w:p>
    <w:p w14:paraId="6DA84E17" w14:textId="67B16E30" w:rsidR="009535B9" w:rsidRDefault="009535B9" w:rsidP="00E62330">
      <w:pPr>
        <w:pStyle w:val="TitleClause"/>
      </w:pPr>
      <w:bookmarkStart w:id="41" w:name="_Toc256000004"/>
      <w:bookmarkStart w:id="42" w:name="a239061"/>
      <w:r>
        <w:t>Disclosures of your personal data</w:t>
      </w:r>
      <w:bookmarkEnd w:id="41"/>
      <w:bookmarkEnd w:id="42"/>
    </w:p>
    <w:p w14:paraId="6CC8BB5E" w14:textId="77777777" w:rsidR="009535B9" w:rsidRPr="00BE5C75" w:rsidRDefault="009535B9" w:rsidP="00E62330">
      <w:pPr>
        <w:pStyle w:val="NoNumUntitledClause"/>
        <w:ind w:left="0"/>
      </w:pPr>
      <w:bookmarkStart w:id="43" w:name="a342752"/>
      <w:r>
        <w:t xml:space="preserve">We may share your personal data where necessary with the parties set out below for the purposes set out in the table </w:t>
      </w:r>
      <w:hyperlink w:anchor="a705127" w:history="1">
        <w:r>
          <w:rPr>
            <w:rStyle w:val="Hyperlink"/>
            <w:i w:val="0"/>
            <w:highlight w:val="lightGray"/>
            <w:u w:val="none"/>
          </w:rPr>
          <w:t>Purposes for which we will use your personal data</w:t>
        </w:r>
      </w:hyperlink>
      <w:r>
        <w:t xml:space="preserve"> above.</w:t>
      </w:r>
      <w:bookmarkEnd w:id="43"/>
    </w:p>
    <w:p w14:paraId="6BC8FE74" w14:textId="77777777" w:rsidR="009535B9" w:rsidRPr="00BE5C75" w:rsidRDefault="009535B9" w:rsidP="00E62330">
      <w:pPr>
        <w:pStyle w:val="ClauseBullet1"/>
      </w:pPr>
      <w:r>
        <w:t xml:space="preserve">Internal Third Parties as set out in the [LINK]. </w:t>
      </w:r>
    </w:p>
    <w:p w14:paraId="18D6AB58" w14:textId="77777777" w:rsidR="009535B9" w:rsidRPr="00BE5C75" w:rsidRDefault="009535B9" w:rsidP="00E62330">
      <w:pPr>
        <w:pStyle w:val="ClauseBullet1"/>
      </w:pPr>
      <w:r>
        <w:t>External Third Parties as set out in the [LINK].</w:t>
      </w:r>
    </w:p>
    <w:p w14:paraId="7E78048A" w14:textId="04509362" w:rsidR="009535B9" w:rsidRPr="00BE5C75" w:rsidRDefault="009535B9" w:rsidP="00E62330">
      <w:pPr>
        <w:pStyle w:val="ClauseBullet1"/>
      </w:pPr>
      <w:r>
        <w:t xml:space="preserve">Specific third parties </w:t>
      </w:r>
      <w:r>
        <w:t xml:space="preserve">listed in the table </w:t>
      </w:r>
      <w:hyperlink w:anchor="a705127" w:history="1">
        <w:r>
          <w:rPr>
            <w:rStyle w:val="Hyperlink"/>
            <w:i w:val="0"/>
            <w:highlight w:val="lightGray"/>
            <w:u w:val="none"/>
          </w:rPr>
          <w:t>Purposes for which we will use your personal data</w:t>
        </w:r>
      </w:hyperlink>
      <w:r>
        <w:t xml:space="preserve"> above </w:t>
      </w:r>
    </w:p>
    <w:p w14:paraId="5D531D77" w14:textId="77777777" w:rsidR="009535B9" w:rsidRPr="00BE5C75" w:rsidRDefault="009535B9" w:rsidP="00E62330">
      <w:pPr>
        <w:pStyle w:val="ClauseBullet1"/>
      </w:pPr>
      <w:r>
        <w:t xml:space="preserve">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 </w:t>
      </w:r>
    </w:p>
    <w:p w14:paraId="589E3778" w14:textId="77777777" w:rsidR="009535B9" w:rsidRDefault="009535B9" w:rsidP="00E62330">
      <w:pPr>
        <w:pStyle w:val="NoNumUntitledClause"/>
        <w:ind w:left="0"/>
      </w:pPr>
      <w:bookmarkStart w:id="44" w:name="a880441"/>
      <w: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44"/>
    </w:p>
    <w:p w14:paraId="48C2DD3F" w14:textId="2232C0F0" w:rsidR="009535B9" w:rsidRDefault="009535B9" w:rsidP="00E62330">
      <w:pPr>
        <w:pStyle w:val="TitleClause"/>
      </w:pPr>
      <w:bookmarkStart w:id="45" w:name="_Toc256000005"/>
      <w:bookmarkStart w:id="46" w:name="a888527"/>
      <w:r>
        <w:t>International transfers</w:t>
      </w:r>
      <w:bookmarkEnd w:id="45"/>
      <w:bookmarkEnd w:id="46"/>
    </w:p>
    <w:p w14:paraId="76AE8DE1" w14:textId="0B0A5701" w:rsidR="009535B9" w:rsidRDefault="009535B9" w:rsidP="00E62330">
      <w:pPr>
        <w:pStyle w:val="NoNumUntitledClause"/>
        <w:ind w:left="0"/>
      </w:pPr>
      <w:bookmarkStart w:id="47" w:name="a916272"/>
      <w:r>
        <w:t>We do not transfer your personal data outside the UK</w:t>
      </w:r>
      <w:r w:rsidR="006A2BD5">
        <w:t xml:space="preserve"> save if you ask us about it.</w:t>
      </w:r>
      <w:bookmarkEnd w:id="47"/>
    </w:p>
    <w:p w14:paraId="1273992C" w14:textId="2068C73E" w:rsidR="009535B9" w:rsidRDefault="009535B9" w:rsidP="00E62330">
      <w:pPr>
        <w:pStyle w:val="TitleClause"/>
      </w:pPr>
      <w:bookmarkStart w:id="48" w:name="_Toc256000006"/>
      <w:bookmarkStart w:id="49" w:name="a424553"/>
      <w:r>
        <w:t>Data security</w:t>
      </w:r>
      <w:bookmarkEnd w:id="48"/>
      <w:bookmarkEnd w:id="49"/>
    </w:p>
    <w:p w14:paraId="77C7F2E4" w14:textId="77777777" w:rsidR="009535B9" w:rsidRDefault="009535B9" w:rsidP="00E62330">
      <w:pPr>
        <w:pStyle w:val="NoNumUntitledClause"/>
        <w:ind w:left="0"/>
      </w:pPr>
      <w:bookmarkStart w:id="50" w:name="a123273"/>
      <w: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t>instructions</w:t>
      </w:r>
      <w:proofErr w:type="gramEnd"/>
      <w:r>
        <w:t xml:space="preserve"> and they are subject to a duty of confidentiality. </w:t>
      </w:r>
      <w:bookmarkEnd w:id="50"/>
    </w:p>
    <w:p w14:paraId="4CBE00B9" w14:textId="77777777" w:rsidR="009535B9" w:rsidRPr="00A17340" w:rsidRDefault="009535B9" w:rsidP="00E62330">
      <w:pPr>
        <w:pStyle w:val="NoNumUntitledClause"/>
      </w:pPr>
      <w:bookmarkStart w:id="51" w:name="a924764"/>
      <w:r>
        <w:t>We have put in place procedures to deal with any suspected personal data breach and will notify you and any applicable regulator of a breach where we are legally required to do so.</w:t>
      </w:r>
      <w:bookmarkEnd w:id="51"/>
    </w:p>
    <w:p w14:paraId="302EA8A0" w14:textId="6EB05296" w:rsidR="009535B9" w:rsidRDefault="009535B9" w:rsidP="00E62330">
      <w:pPr>
        <w:pStyle w:val="TitleClause"/>
      </w:pPr>
      <w:bookmarkStart w:id="52" w:name="_Toc256000007"/>
      <w:bookmarkStart w:id="53" w:name="a852989"/>
      <w:r>
        <w:t>Data retention</w:t>
      </w:r>
      <w:bookmarkEnd w:id="52"/>
      <w:bookmarkEnd w:id="53"/>
    </w:p>
    <w:p w14:paraId="0907DFCA" w14:textId="77777777" w:rsidR="009535B9" w:rsidRPr="00850A81" w:rsidRDefault="009535B9" w:rsidP="00E62330">
      <w:pPr>
        <w:pStyle w:val="NoNumTitle-Clause"/>
        <w:ind w:left="0"/>
      </w:pPr>
      <w:bookmarkStart w:id="54" w:name="a536431"/>
      <w:r>
        <w:t>How long will you use my personal data for?</w:t>
      </w:r>
      <w:bookmarkEnd w:id="54"/>
    </w:p>
    <w:p w14:paraId="0E20FDCF" w14:textId="122EE833" w:rsidR="009535B9" w:rsidRDefault="009535B9" w:rsidP="00E62330">
      <w:pPr>
        <w:pStyle w:val="NoNumUntitledClause"/>
      </w:pPr>
      <w:bookmarkStart w:id="55" w:name="a211644"/>
      <w:r>
        <w:t xml:space="preserve">Details of retention periods for different aspects of your personal data are </w:t>
      </w:r>
      <w:r>
        <w:t xml:space="preserve">set out in the table </w:t>
      </w:r>
      <w:hyperlink w:anchor="a705127" w:history="1">
        <w:r>
          <w:rPr>
            <w:rStyle w:val="Hyperlink"/>
            <w:i w:val="0"/>
            <w:highlight w:val="lightGray"/>
            <w:u w:val="none"/>
          </w:rPr>
          <w:t>Purposes for which we will use your personal data</w:t>
        </w:r>
      </w:hyperlink>
      <w:r>
        <w:t xml:space="preserve"> above</w:t>
      </w:r>
      <w:r>
        <w:t>.</w:t>
      </w:r>
      <w:bookmarkEnd w:id="55"/>
    </w:p>
    <w:p w14:paraId="2FF679C4" w14:textId="77777777" w:rsidR="009535B9" w:rsidRPr="00850A81" w:rsidRDefault="009535B9" w:rsidP="00E62330">
      <w:pPr>
        <w:pStyle w:val="NoNumUntitledClause"/>
        <w:ind w:left="0"/>
      </w:pPr>
      <w:bookmarkStart w:id="56" w:name="a863448"/>
      <w: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bookmarkEnd w:id="56"/>
    </w:p>
    <w:p w14:paraId="1DAA2C2C" w14:textId="77777777" w:rsidR="009535B9" w:rsidRPr="00850A81" w:rsidRDefault="009535B9" w:rsidP="00E62330">
      <w:pPr>
        <w:pStyle w:val="NoNumUntitledClause"/>
        <w:ind w:left="0"/>
      </w:pPr>
      <w:bookmarkStart w:id="57" w:name="a679927"/>
      <w:r>
        <w:t xml:space="preserve">To determine the appropriate retention period for personal data, we consider the amount, nature and sensitivity of the personal data, the potential risk of harm from unauthorised use or disclosure of your personal </w:t>
      </w:r>
      <w:r>
        <w:lastRenderedPageBreak/>
        <w:t>data, the purposes for which we process your personal data and whether we can achieve those purposes through other means, and the applicable legal, regulatory, tax, accounting or other requirements.</w:t>
      </w:r>
      <w:bookmarkEnd w:id="57"/>
    </w:p>
    <w:p w14:paraId="246D50E7" w14:textId="00C9D52C" w:rsidR="009535B9" w:rsidRPr="00850A81" w:rsidRDefault="009535B9" w:rsidP="00E62330">
      <w:pPr>
        <w:pStyle w:val="NoNumUntitledClause"/>
        <w:ind w:left="0"/>
      </w:pPr>
      <w:bookmarkStart w:id="58" w:name="a263860"/>
      <w:r>
        <w:t xml:space="preserve">By law we </w:t>
      </w:r>
      <w:proofErr w:type="gramStart"/>
      <w:r>
        <w:t>have to</w:t>
      </w:r>
      <w:proofErr w:type="gramEnd"/>
      <w:r>
        <w:t xml:space="preserve"> keep basic information about our customers (including Contact, Identity, Financial and Transaction Data) for </w:t>
      </w:r>
      <w:r>
        <w:t>six</w:t>
      </w:r>
      <w:r>
        <w:t xml:space="preserve"> years after they cease being customers for </w:t>
      </w:r>
      <w:r>
        <w:t>tax</w:t>
      </w:r>
      <w:r>
        <w:t xml:space="preserve"> purposes.</w:t>
      </w:r>
      <w:bookmarkEnd w:id="58"/>
    </w:p>
    <w:p w14:paraId="10C57B3F" w14:textId="40835067" w:rsidR="009535B9" w:rsidRPr="00850A81" w:rsidRDefault="009535B9" w:rsidP="00E62330">
      <w:pPr>
        <w:pStyle w:val="NoNumUntitledClause"/>
        <w:ind w:left="0"/>
      </w:pPr>
      <w:bookmarkStart w:id="59" w:name="a137296"/>
      <w:r>
        <w:t>In some circumstances you can ask us to delete your data: see</w:t>
      </w:r>
      <w:r w:rsidR="006A2BD5">
        <w:t xml:space="preserve"> </w:t>
      </w:r>
      <w:r>
        <w:fldChar w:fldCharType="begin"/>
      </w:r>
      <w:r>
        <w:instrText>PAGEREF a152621\# "'paragraph '"  \h</w:instrText>
      </w:r>
      <w:r>
        <w:fldChar w:fldCharType="separate"/>
      </w:r>
      <w:r>
        <w:t xml:space="preserve">paragraph </w:t>
      </w:r>
      <w:r>
        <w:fldChar w:fldCharType="end"/>
      </w:r>
      <w:r>
        <w:fldChar w:fldCharType="begin"/>
      </w:r>
      <w:r>
        <w:rPr>
          <w:highlight w:val="lightGray"/>
        </w:rPr>
        <w:instrText>REF a152621 \h \w</w:instrText>
      </w:r>
      <w:r>
        <w:fldChar w:fldCharType="separate"/>
      </w:r>
      <w:r>
        <w:t>9</w:t>
      </w:r>
      <w:r>
        <w:fldChar w:fldCharType="end"/>
      </w:r>
      <w:r>
        <w:t xml:space="preserve"> below for further information.</w:t>
      </w:r>
      <w:bookmarkEnd w:id="59"/>
    </w:p>
    <w:p w14:paraId="0315E4C0" w14:textId="71EC98AB" w:rsidR="009535B9" w:rsidRPr="00850A81" w:rsidRDefault="009535B9" w:rsidP="00E62330">
      <w:pPr>
        <w:pStyle w:val="NoNumUntitledClause"/>
        <w:ind w:left="0"/>
      </w:pPr>
      <w:bookmarkStart w:id="60" w:name="a938517"/>
      <w:r>
        <w:t>In some circumstances we will anonymise your personal data (so that it can no longer be associated with you) for research or statistical purposes, in which case we may use this information indefinitely without further notice to you.</w:t>
      </w:r>
      <w:r>
        <w:t xml:space="preserve"> </w:t>
      </w:r>
      <w:bookmarkEnd w:id="60"/>
    </w:p>
    <w:p w14:paraId="79F54A73" w14:textId="1CA9DA80" w:rsidR="009535B9" w:rsidRDefault="009535B9" w:rsidP="00E62330">
      <w:pPr>
        <w:pStyle w:val="TitleClause"/>
      </w:pPr>
      <w:bookmarkStart w:id="61" w:name="_Toc256000008"/>
      <w:bookmarkStart w:id="62" w:name="a152621"/>
      <w:r>
        <w:t>Your legal rights</w:t>
      </w:r>
      <w:bookmarkEnd w:id="61"/>
      <w:bookmarkEnd w:id="62"/>
    </w:p>
    <w:p w14:paraId="52362087" w14:textId="77777777" w:rsidR="009535B9" w:rsidRPr="00B927DF" w:rsidRDefault="009535B9" w:rsidP="00E62330">
      <w:pPr>
        <w:pStyle w:val="NoNumUntitledClause"/>
      </w:pPr>
      <w:bookmarkStart w:id="63" w:name="a905008"/>
      <w:r>
        <w:t xml:space="preserve">You have </w:t>
      </w:r>
      <w:proofErr w:type="gramStart"/>
      <w:r>
        <w:t>a number of</w:t>
      </w:r>
      <w:proofErr w:type="gramEnd"/>
      <w:r>
        <w:t xml:space="preserve"> rights under data protection laws in relation to your personal data. </w:t>
      </w:r>
      <w:bookmarkEnd w:id="63"/>
    </w:p>
    <w:p w14:paraId="018ACA77" w14:textId="77777777" w:rsidR="009535B9" w:rsidRDefault="009535B9" w:rsidP="00E62330">
      <w:pPr>
        <w:pStyle w:val="NoNumUntitledClause"/>
      </w:pPr>
      <w:bookmarkStart w:id="64" w:name="a807579"/>
      <w:r>
        <w:t>You have the right to:</w:t>
      </w:r>
      <w:bookmarkEnd w:id="64"/>
    </w:p>
    <w:p w14:paraId="4485EE87" w14:textId="77777777" w:rsidR="009535B9" w:rsidRDefault="009535B9" w:rsidP="00E62330">
      <w:pPr>
        <w:pStyle w:val="ClauseBullet1"/>
      </w:pPr>
      <w:r>
        <w:t>Request access to your personal data (commonly known as a "subject access request"). This enables you to receive a copy of the personal data we hold about you and to check that we are lawfully processing it.</w:t>
      </w:r>
    </w:p>
    <w:p w14:paraId="611C8CD4" w14:textId="77777777" w:rsidR="009535B9" w:rsidRDefault="009535B9" w:rsidP="00E62330">
      <w:pPr>
        <w:pStyle w:val="ClauseBullet1"/>
      </w:pPr>
      <w:r>
        <w:t>Request correction of the personal data that we hold about you. This enables you to have any incomplete or inaccurate data we hold about you corrected, though we may need to verify the accuracy of the new data you provide to us.</w:t>
      </w:r>
    </w:p>
    <w:p w14:paraId="1F5399E1" w14:textId="77777777" w:rsidR="009535B9" w:rsidRDefault="009535B9" w:rsidP="00E62330">
      <w:pPr>
        <w:pStyle w:val="ClauseBullet1"/>
      </w:pPr>
      <w:r>
        <w:t>Request erasure of your personal data in certain circumstances.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w:t>
      </w:r>
      <w:r>
        <w:t xml:space="preserve"> always be able to comply with your request of erasure for specific legal reasons which will be notified to you, if applicable, at the time of your request.</w:t>
      </w:r>
    </w:p>
    <w:p w14:paraId="6542FFB0" w14:textId="77777777" w:rsidR="009535B9" w:rsidRDefault="009535B9" w:rsidP="00E62330">
      <w:pPr>
        <w:pStyle w:val="ClauseBullet1"/>
      </w:pPr>
      <w:r>
        <w:t>Object to processing of your personal data where we are relying on a legitimate interest (or those of a third party) as the legal basis for that particular use of your data (including carrying out profiling based on our legitimate interests). In some cases, we may demonstrate that we have compelling legitimate grounds to process your information which override your right to object.</w:t>
      </w:r>
    </w:p>
    <w:p w14:paraId="5657F08E" w14:textId="77777777" w:rsidR="009535B9" w:rsidRDefault="009535B9" w:rsidP="00E62330">
      <w:pPr>
        <w:pStyle w:val="ClauseBullet1"/>
      </w:pPr>
      <w:r>
        <w:t xml:space="preserve">You also have the absolute right to object any time to the processing of your personal data for direct marketing purposes (see </w:t>
      </w:r>
      <w:hyperlink w:anchor="a879432" w:history="1">
        <w:r>
          <w:rPr>
            <w:rStyle w:val="Hyperlink"/>
            <w:i w:val="0"/>
            <w:highlight w:val="lightGray"/>
            <w:u w:val="none"/>
          </w:rPr>
          <w:t>OPTING OUT OF MARKETING</w:t>
        </w:r>
      </w:hyperlink>
      <w:r>
        <w:t xml:space="preserve"> in </w:t>
      </w:r>
      <w:r>
        <w:fldChar w:fldCharType="begin"/>
      </w:r>
      <w:r>
        <w:instrText>PAGEREF a179246\# "'paragraph '"  \h</w:instrText>
      </w:r>
      <w:r>
        <w:fldChar w:fldCharType="separate"/>
      </w:r>
      <w:r>
        <w:t xml:space="preserve">paragraph </w:t>
      </w:r>
      <w:r>
        <w:fldChar w:fldCharType="end"/>
      </w:r>
      <w:r>
        <w:fldChar w:fldCharType="begin"/>
      </w:r>
      <w:r>
        <w:rPr>
          <w:highlight w:val="lightGray"/>
        </w:rPr>
        <w:instrText>REF a179246 \h \w</w:instrText>
      </w:r>
      <w:r>
        <w:fldChar w:fldCharType="separate"/>
      </w:r>
      <w:r>
        <w:t>4</w:t>
      </w:r>
      <w:r>
        <w:fldChar w:fldCharType="end"/>
      </w:r>
      <w:r>
        <w:t xml:space="preserve"> for details of how to object to receiving direct marketing communications). </w:t>
      </w:r>
    </w:p>
    <w:p w14:paraId="06B46DD4" w14:textId="77777777" w:rsidR="009535B9" w:rsidRDefault="009535B9" w:rsidP="00E62330">
      <w:pPr>
        <w:pStyle w:val="ClauseBullet1"/>
      </w:pPr>
      <w:r>
        <w:t>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52E60341" w14:textId="3ECBABDF" w:rsidR="009535B9" w:rsidRDefault="009535B9" w:rsidP="00E62330">
      <w:pPr>
        <w:pStyle w:val="ClauseBullet1"/>
      </w:pPr>
      <w:r>
        <w:t>Withdraw consent at any time where we are relying on consent to process your personal data (see the table in section 4 for details of when we rely on your consent as the legal basis for using your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5D17B904" w14:textId="77777777" w:rsidR="009535B9" w:rsidRDefault="009535B9" w:rsidP="00E62330">
      <w:pPr>
        <w:pStyle w:val="ClauseBullet1"/>
      </w:pPr>
      <w:r>
        <w:lastRenderedPageBreak/>
        <w:t>Request restriction of processing of your personal data. This enables you to ask us to suspend the processing of your personal data in one of the following scenarios:</w:t>
      </w:r>
    </w:p>
    <w:p w14:paraId="7221B793" w14:textId="77777777" w:rsidR="009535B9" w:rsidRDefault="009535B9" w:rsidP="00E62330">
      <w:pPr>
        <w:pStyle w:val="ClauseBullet2"/>
      </w:pPr>
      <w:r>
        <w:t xml:space="preserve">If you want us to establish the data's </w:t>
      </w:r>
      <w:proofErr w:type="gramStart"/>
      <w:r>
        <w:t>accuracy;</w:t>
      </w:r>
      <w:proofErr w:type="gramEnd"/>
    </w:p>
    <w:p w14:paraId="128C7C8A" w14:textId="77777777" w:rsidR="009535B9" w:rsidRDefault="009535B9" w:rsidP="00E62330">
      <w:pPr>
        <w:pStyle w:val="ClauseBullet2"/>
      </w:pPr>
      <w:r>
        <w:t xml:space="preserve">Where our use of the data is </w:t>
      </w:r>
      <w:proofErr w:type="gramStart"/>
      <w:r>
        <w:t>unlawful</w:t>
      </w:r>
      <w:proofErr w:type="gramEnd"/>
      <w:r>
        <w:t xml:space="preserve"> but you do not want us to erase </w:t>
      </w:r>
      <w:proofErr w:type="gramStart"/>
      <w:r>
        <w:t>it;</w:t>
      </w:r>
      <w:proofErr w:type="gramEnd"/>
    </w:p>
    <w:p w14:paraId="3292709B" w14:textId="77777777" w:rsidR="009535B9" w:rsidRDefault="009535B9" w:rsidP="00E62330">
      <w:pPr>
        <w:pStyle w:val="ClauseBullet2"/>
      </w:pPr>
      <w:r>
        <w:t>Where you need us to hold the data even if we no longer require it as you need it to establish, exercise or defend legal claims; or</w:t>
      </w:r>
    </w:p>
    <w:p w14:paraId="36F6C62C" w14:textId="77777777" w:rsidR="009535B9" w:rsidRDefault="009535B9" w:rsidP="00E62330">
      <w:pPr>
        <w:pStyle w:val="ClauseBullet2"/>
      </w:pPr>
      <w:r>
        <w:t xml:space="preserve">You have objected to our use of your </w:t>
      </w:r>
      <w:proofErr w:type="gramStart"/>
      <w:r>
        <w:t>data</w:t>
      </w:r>
      <w:proofErr w:type="gramEnd"/>
      <w:r>
        <w:t xml:space="preserve"> but we need to verify whether we have overriding legitimate grounds to use it.</w:t>
      </w:r>
    </w:p>
    <w:p w14:paraId="341D53FC" w14:textId="511519B5" w:rsidR="009535B9" w:rsidRPr="00E02831" w:rsidRDefault="009535B9" w:rsidP="00E62330">
      <w:pPr>
        <w:pStyle w:val="NoNumUntitledClause"/>
        <w:ind w:left="0"/>
      </w:pPr>
      <w:bookmarkStart w:id="65" w:name="a694615"/>
      <w:r>
        <w:t xml:space="preserve">If you wish to exercise any of the rights set out above, </w:t>
      </w:r>
      <w:r>
        <w:t xml:space="preserve">please contact us </w:t>
      </w:r>
      <w:r w:rsidR="006A2BD5">
        <w:t>(</w:t>
      </w:r>
      <w:r>
        <w:t>see Contact details (</w:t>
      </w:r>
      <w:r>
        <w:fldChar w:fldCharType="begin"/>
      </w:r>
      <w:r>
        <w:instrText>PAGEREF a682882\# "'paragraph '"  \h</w:instrText>
      </w:r>
      <w:r>
        <w:fldChar w:fldCharType="separate"/>
      </w:r>
      <w:r>
        <w:t xml:space="preserve">paragraph </w:t>
      </w:r>
      <w:r>
        <w:fldChar w:fldCharType="end"/>
      </w:r>
      <w:r>
        <w:fldChar w:fldCharType="begin"/>
      </w:r>
      <w:r>
        <w:rPr>
          <w:highlight w:val="lightGray"/>
        </w:rPr>
        <w:instrText>REF a682882 \h \w</w:instrText>
      </w:r>
      <w:r>
        <w:fldChar w:fldCharType="separate"/>
      </w:r>
      <w:r>
        <w:t>10</w:t>
      </w:r>
      <w:r>
        <w:fldChar w:fldCharType="end"/>
      </w:r>
      <w:r>
        <w:rPr>
          <w:rStyle w:val="Hyperlink"/>
          <w:i w:val="0"/>
          <w:iCs/>
          <w:u w:val="none"/>
        </w:rPr>
        <w:t>)</w:t>
      </w:r>
      <w:r w:rsidR="006A2BD5">
        <w:rPr>
          <w:rStyle w:val="Hyperlink"/>
          <w:i w:val="0"/>
          <w:iCs/>
          <w:u w:val="none"/>
        </w:rPr>
        <w:t>.</w:t>
      </w:r>
      <w:r>
        <w:t xml:space="preserve"> </w:t>
      </w:r>
      <w:bookmarkEnd w:id="65"/>
    </w:p>
    <w:p w14:paraId="642BC7C1" w14:textId="77777777" w:rsidR="009535B9" w:rsidRPr="00E02831" w:rsidRDefault="009535B9" w:rsidP="00E62330">
      <w:pPr>
        <w:pStyle w:val="NoNumTitle-Clause"/>
        <w:ind w:left="0"/>
      </w:pPr>
      <w:bookmarkStart w:id="66" w:name="a367507"/>
      <w:r>
        <w:t>No fee usually required</w:t>
      </w:r>
      <w:bookmarkEnd w:id="66"/>
    </w:p>
    <w:p w14:paraId="7E9B35D0" w14:textId="77777777" w:rsidR="009535B9" w:rsidRPr="00E02831" w:rsidRDefault="009535B9" w:rsidP="00E62330">
      <w:pPr>
        <w:pStyle w:val="NoNumUntitledClause"/>
        <w:ind w:left="0"/>
      </w:pPr>
      <w:bookmarkStart w:id="67" w:name="a152124"/>
      <w: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bookmarkEnd w:id="67"/>
    </w:p>
    <w:p w14:paraId="236C72B0" w14:textId="77777777" w:rsidR="009535B9" w:rsidRPr="00E02831" w:rsidRDefault="009535B9" w:rsidP="00E62330">
      <w:pPr>
        <w:pStyle w:val="NoNumTitle-Clause"/>
        <w:ind w:left="0"/>
      </w:pPr>
      <w:bookmarkStart w:id="68" w:name="a892914"/>
      <w:r>
        <w:t>What we may need from you</w:t>
      </w:r>
      <w:bookmarkEnd w:id="68"/>
    </w:p>
    <w:p w14:paraId="127882D0" w14:textId="77777777" w:rsidR="009535B9" w:rsidRPr="00E02831" w:rsidRDefault="009535B9" w:rsidP="00E62330">
      <w:pPr>
        <w:pStyle w:val="NoNumUntitledClause"/>
        <w:ind w:left="0"/>
      </w:pPr>
      <w:bookmarkStart w:id="69" w:name="a853930"/>
      <w: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69"/>
    </w:p>
    <w:p w14:paraId="343F13DF" w14:textId="77777777" w:rsidR="009535B9" w:rsidRPr="00E02831" w:rsidRDefault="009535B9" w:rsidP="00E62330">
      <w:pPr>
        <w:pStyle w:val="NoNumTitle-Clause"/>
        <w:ind w:left="0"/>
      </w:pPr>
      <w:bookmarkStart w:id="70" w:name="a703850"/>
      <w:r>
        <w:t>Time limit to respond</w:t>
      </w:r>
      <w:bookmarkEnd w:id="70"/>
    </w:p>
    <w:p w14:paraId="72EA0F3A" w14:textId="77777777" w:rsidR="009535B9" w:rsidRDefault="009535B9" w:rsidP="00E62330">
      <w:pPr>
        <w:pStyle w:val="NoNumUntitledClause"/>
        <w:ind w:left="0"/>
      </w:pPr>
      <w:bookmarkStart w:id="71" w:name="a594954"/>
      <w:r>
        <w:t xml:space="preserve">We try to respond to all legitimate requests within one month. Occasionally it could take us longer than a month if your request is particularly complex or you have made </w:t>
      </w:r>
      <w:proofErr w:type="gramStart"/>
      <w:r>
        <w:t>a number of</w:t>
      </w:r>
      <w:proofErr w:type="gramEnd"/>
      <w:r>
        <w:t xml:space="preserve"> requests. In this case, we will notify you and keep you updated. </w:t>
      </w:r>
      <w:bookmarkEnd w:id="71"/>
    </w:p>
    <w:p w14:paraId="18570D46" w14:textId="31881E54" w:rsidR="009535B9" w:rsidRDefault="009535B9" w:rsidP="00E62330">
      <w:pPr>
        <w:pStyle w:val="TitleClause"/>
      </w:pPr>
      <w:bookmarkStart w:id="72" w:name="_Toc256000009"/>
      <w:bookmarkStart w:id="73" w:name="a682882"/>
      <w:r>
        <w:t>Contact details</w:t>
      </w:r>
      <w:bookmarkEnd w:id="72"/>
      <w:bookmarkEnd w:id="73"/>
    </w:p>
    <w:p w14:paraId="5EA4EACE" w14:textId="13BC5B96" w:rsidR="009535B9" w:rsidRDefault="009535B9" w:rsidP="00E62330">
      <w:pPr>
        <w:pStyle w:val="NoNumUntitledClause"/>
      </w:pPr>
      <w:bookmarkStart w:id="74" w:name="a679082"/>
      <w:r>
        <w:t xml:space="preserve">If you have any questions about this privacy policy or about the use of your personal data or </w:t>
      </w:r>
      <w:proofErr w:type="gramStart"/>
      <w:r>
        <w:t>you want</w:t>
      </w:r>
      <w:proofErr w:type="gramEnd"/>
      <w:r>
        <w:t xml:space="preserve"> to exercise your privacy rights, please contact </w:t>
      </w:r>
      <w:r>
        <w:t>us</w:t>
      </w:r>
      <w:r>
        <w:t xml:space="preserve"> in the following ways:</w:t>
      </w:r>
      <w:bookmarkEnd w:id="74"/>
    </w:p>
    <w:p w14:paraId="34402AD3" w14:textId="6822A594" w:rsidR="006A2BD5" w:rsidRDefault="009535B9" w:rsidP="006A2BD5">
      <w:pPr>
        <w:pStyle w:val="ClauseBullet1"/>
      </w:pPr>
      <w:r>
        <w:t xml:space="preserve">Email address: </w:t>
      </w:r>
      <w:hyperlink r:id="rId12" w:history="1">
        <w:r w:rsidR="006A2BD5" w:rsidRPr="00355CD8">
          <w:rPr>
            <w:rStyle w:val="Hyperlink"/>
          </w:rPr>
          <w:t>mail@internationallawconnection.co.uk</w:t>
        </w:r>
      </w:hyperlink>
    </w:p>
    <w:p w14:paraId="1D6572B8" w14:textId="75F250D5" w:rsidR="009535B9" w:rsidRDefault="009535B9" w:rsidP="006A2BD5">
      <w:pPr>
        <w:pStyle w:val="ClauseBullet1"/>
      </w:pPr>
      <w:r>
        <w:t xml:space="preserve">Postal address: </w:t>
      </w:r>
      <w:r w:rsidR="006A2BD5">
        <w:t xml:space="preserve">ILC, 31 Sunderland Place, </w:t>
      </w:r>
      <w:proofErr w:type="spellStart"/>
      <w:r w:rsidR="006A2BD5">
        <w:t>Shortstown</w:t>
      </w:r>
      <w:proofErr w:type="spellEnd"/>
      <w:r w:rsidR="006A2BD5">
        <w:t>, Bedford, MK42 0FE, UK</w:t>
      </w:r>
    </w:p>
    <w:p w14:paraId="57EECFA3" w14:textId="288F9F00" w:rsidR="009535B9" w:rsidRDefault="009535B9" w:rsidP="00E62330">
      <w:pPr>
        <w:pStyle w:val="ClauseBullet1"/>
      </w:pPr>
      <w:r>
        <w:t xml:space="preserve">Telephone number: </w:t>
      </w:r>
      <w:r w:rsidR="006A2BD5">
        <w:t>+44 7428793410</w:t>
      </w:r>
    </w:p>
    <w:p w14:paraId="7FA09566" w14:textId="28D37D98" w:rsidR="009535B9" w:rsidRDefault="009535B9" w:rsidP="00E62330">
      <w:pPr>
        <w:pStyle w:val="TitleClause"/>
      </w:pPr>
      <w:bookmarkStart w:id="75" w:name="_Toc256000010"/>
      <w:bookmarkStart w:id="76" w:name="a194718"/>
      <w:r>
        <w:t>Complaints</w:t>
      </w:r>
      <w:bookmarkEnd w:id="75"/>
      <w:bookmarkEnd w:id="76"/>
    </w:p>
    <w:p w14:paraId="4E906D8E" w14:textId="77777777" w:rsidR="009535B9" w:rsidRDefault="009535B9" w:rsidP="00E62330">
      <w:pPr>
        <w:pStyle w:val="NoNumUntitledClause"/>
      </w:pPr>
      <w:bookmarkStart w:id="77" w:name="a396864"/>
      <w:r>
        <w:t>You have the right to make a complaint at any time to the Information Commissioner’s Office (ICO), the UK regulator for data protection issues (</w:t>
      </w:r>
      <w:r>
        <w:rPr>
          <w:rStyle w:val="Hyperlink"/>
          <w:i w:val="0"/>
          <w:u w:val="none"/>
        </w:rPr>
        <w:t>www.ico.org.uk</w:t>
      </w:r>
      <w:r>
        <w:t xml:space="preserve">). We would, however, appreciate the </w:t>
      </w:r>
      <w:r>
        <w:lastRenderedPageBreak/>
        <w:t>chance to deal with your concerns before you approach the ICO so please contact us in the first instance.</w:t>
      </w:r>
      <w:bookmarkEnd w:id="77"/>
    </w:p>
    <w:p w14:paraId="15C7B209" w14:textId="54860BB5" w:rsidR="009535B9" w:rsidRDefault="009535B9" w:rsidP="00E62330">
      <w:pPr>
        <w:pStyle w:val="TitleClause"/>
      </w:pPr>
      <w:bookmarkStart w:id="78" w:name="_Toc256000011"/>
      <w:bookmarkStart w:id="79" w:name="a475634"/>
      <w:r>
        <w:t>Changes to the privacy policy and your duty to inform us of changes</w:t>
      </w:r>
      <w:bookmarkEnd w:id="78"/>
      <w:r>
        <w:t xml:space="preserve">  </w:t>
      </w:r>
      <w:bookmarkEnd w:id="79"/>
    </w:p>
    <w:p w14:paraId="2905C7C1" w14:textId="71F915D3" w:rsidR="009535B9" w:rsidRDefault="009535B9" w:rsidP="00E62330">
      <w:pPr>
        <w:pStyle w:val="NoNumUntitledClause"/>
      </w:pPr>
      <w:bookmarkStart w:id="80" w:name="a324325"/>
      <w:r>
        <w:t xml:space="preserve">We keep our privacy policy under regular review. </w:t>
      </w:r>
      <w:r>
        <w:t xml:space="preserve">This version was last updated on </w:t>
      </w:r>
      <w:r w:rsidR="006A2BD5">
        <w:t>01/08/2025.</w:t>
      </w:r>
      <w:r>
        <w:t xml:space="preserve"> </w:t>
      </w:r>
      <w:bookmarkEnd w:id="80"/>
    </w:p>
    <w:p w14:paraId="5DCD11B3" w14:textId="77777777" w:rsidR="009535B9" w:rsidRDefault="009535B9" w:rsidP="00E62330">
      <w:pPr>
        <w:pStyle w:val="NoNumUntitledClause"/>
      </w:pPr>
      <w:bookmarkStart w:id="81" w:name="a206686"/>
      <w:r>
        <w:t>It is important that the personal data we hold about you is accurate and current. Please keep us informed if your personal data changes during your relationship with us, for example a new address or email address.</w:t>
      </w:r>
      <w:bookmarkEnd w:id="81"/>
    </w:p>
    <w:p w14:paraId="1F2CF106" w14:textId="7BC74206" w:rsidR="009535B9" w:rsidRDefault="009535B9" w:rsidP="00E62330">
      <w:pPr>
        <w:pStyle w:val="TitleClause"/>
      </w:pPr>
      <w:bookmarkStart w:id="82" w:name="_Toc256000012"/>
      <w:bookmarkStart w:id="83" w:name="a493778"/>
      <w:r>
        <w:t>Third-party links</w:t>
      </w:r>
      <w:bookmarkEnd w:id="82"/>
      <w:r>
        <w:t xml:space="preserve">  </w:t>
      </w:r>
      <w:bookmarkEnd w:id="83"/>
    </w:p>
    <w:p w14:paraId="1A27235C" w14:textId="77777777" w:rsidR="009535B9" w:rsidRDefault="009535B9" w:rsidP="00E62330">
      <w:pPr>
        <w:pStyle w:val="NoNumUntitledClause"/>
      </w:pPr>
      <w:bookmarkStart w:id="84" w:name="a165636"/>
      <w: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bookmarkEnd w:id="84"/>
    </w:p>
    <w:sectPr w:rsidR="0052307E" w:rsidSect="0052307E">
      <w:footerReference w:type="default" r:id="rId13"/>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547DB" w14:textId="77777777" w:rsidR="009535B9" w:rsidRDefault="009535B9">
      <w:pPr>
        <w:spacing w:after="0" w:line="240" w:lineRule="auto"/>
      </w:pPr>
      <w:r>
        <w:separator/>
      </w:r>
    </w:p>
  </w:endnote>
  <w:endnote w:type="continuationSeparator" w:id="0">
    <w:p w14:paraId="03E03C26" w14:textId="77777777" w:rsidR="009535B9" w:rsidRDefault="0095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C7868" w14:textId="77777777" w:rsidR="00612CDF" w:rsidRDefault="009535B9">
    <w:pPr>
      <w:jc w:val="center"/>
    </w:pP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9BB97" w14:textId="77777777" w:rsidR="009535B9" w:rsidRDefault="009535B9">
      <w:pPr>
        <w:spacing w:after="0" w:line="240" w:lineRule="auto"/>
      </w:pPr>
      <w:r>
        <w:separator/>
      </w:r>
    </w:p>
  </w:footnote>
  <w:footnote w:type="continuationSeparator" w:id="0">
    <w:p w14:paraId="0033719F" w14:textId="77777777" w:rsidR="009535B9" w:rsidRDefault="00953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492A3F2A">
      <w:start w:val="1"/>
      <w:numFmt w:val="bullet"/>
      <w:pStyle w:val="DefinedTermBullet"/>
      <w:lvlText w:val=""/>
      <w:lvlJc w:val="left"/>
      <w:pPr>
        <w:ind w:left="1440" w:hanging="360"/>
      </w:pPr>
      <w:rPr>
        <w:rFonts w:ascii="Symbol" w:hAnsi="Symbol" w:hint="default"/>
        <w:color w:val="000000"/>
      </w:rPr>
    </w:lvl>
    <w:lvl w:ilvl="1" w:tplc="B9C428A2" w:tentative="1">
      <w:start w:val="1"/>
      <w:numFmt w:val="bullet"/>
      <w:lvlText w:val="o"/>
      <w:lvlJc w:val="left"/>
      <w:pPr>
        <w:ind w:left="2160" w:hanging="360"/>
      </w:pPr>
      <w:rPr>
        <w:rFonts w:ascii="Courier New" w:hAnsi="Courier New" w:cs="Courier New" w:hint="default"/>
      </w:rPr>
    </w:lvl>
    <w:lvl w:ilvl="2" w:tplc="412EE51C" w:tentative="1">
      <w:start w:val="1"/>
      <w:numFmt w:val="bullet"/>
      <w:lvlText w:val=""/>
      <w:lvlJc w:val="left"/>
      <w:pPr>
        <w:ind w:left="2880" w:hanging="360"/>
      </w:pPr>
      <w:rPr>
        <w:rFonts w:ascii="Wingdings" w:hAnsi="Wingdings" w:hint="default"/>
      </w:rPr>
    </w:lvl>
    <w:lvl w:ilvl="3" w:tplc="0DF49FBE" w:tentative="1">
      <w:start w:val="1"/>
      <w:numFmt w:val="bullet"/>
      <w:lvlText w:val=""/>
      <w:lvlJc w:val="left"/>
      <w:pPr>
        <w:ind w:left="3600" w:hanging="360"/>
      </w:pPr>
      <w:rPr>
        <w:rFonts w:ascii="Symbol" w:hAnsi="Symbol" w:hint="default"/>
      </w:rPr>
    </w:lvl>
    <w:lvl w:ilvl="4" w:tplc="E75441A8" w:tentative="1">
      <w:start w:val="1"/>
      <w:numFmt w:val="bullet"/>
      <w:lvlText w:val="o"/>
      <w:lvlJc w:val="left"/>
      <w:pPr>
        <w:ind w:left="4320" w:hanging="360"/>
      </w:pPr>
      <w:rPr>
        <w:rFonts w:ascii="Courier New" w:hAnsi="Courier New" w:cs="Courier New" w:hint="default"/>
      </w:rPr>
    </w:lvl>
    <w:lvl w:ilvl="5" w:tplc="6016B5F8" w:tentative="1">
      <w:start w:val="1"/>
      <w:numFmt w:val="bullet"/>
      <w:lvlText w:val=""/>
      <w:lvlJc w:val="left"/>
      <w:pPr>
        <w:ind w:left="5040" w:hanging="360"/>
      </w:pPr>
      <w:rPr>
        <w:rFonts w:ascii="Wingdings" w:hAnsi="Wingdings" w:hint="default"/>
      </w:rPr>
    </w:lvl>
    <w:lvl w:ilvl="6" w:tplc="5EAED47E" w:tentative="1">
      <w:start w:val="1"/>
      <w:numFmt w:val="bullet"/>
      <w:lvlText w:val=""/>
      <w:lvlJc w:val="left"/>
      <w:pPr>
        <w:ind w:left="5760" w:hanging="360"/>
      </w:pPr>
      <w:rPr>
        <w:rFonts w:ascii="Symbol" w:hAnsi="Symbol" w:hint="default"/>
      </w:rPr>
    </w:lvl>
    <w:lvl w:ilvl="7" w:tplc="7C0A1E80" w:tentative="1">
      <w:start w:val="1"/>
      <w:numFmt w:val="bullet"/>
      <w:lvlText w:val="o"/>
      <w:lvlJc w:val="left"/>
      <w:pPr>
        <w:ind w:left="6480" w:hanging="360"/>
      </w:pPr>
      <w:rPr>
        <w:rFonts w:ascii="Courier New" w:hAnsi="Courier New" w:cs="Courier New" w:hint="default"/>
      </w:rPr>
    </w:lvl>
    <w:lvl w:ilvl="8" w:tplc="70EEE954"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342AB3A4">
      <w:start w:val="1"/>
      <w:numFmt w:val="lowerLetter"/>
      <w:lvlText w:val="%1)"/>
      <w:lvlJc w:val="left"/>
      <w:pPr>
        <w:ind w:left="1714" w:hanging="360"/>
      </w:pPr>
      <w:rPr>
        <w:color w:val="000000"/>
      </w:rPr>
    </w:lvl>
    <w:lvl w:ilvl="1" w:tplc="2AD228EE" w:tentative="1">
      <w:start w:val="1"/>
      <w:numFmt w:val="lowerLetter"/>
      <w:lvlText w:val="%2."/>
      <w:lvlJc w:val="left"/>
      <w:pPr>
        <w:ind w:left="2434" w:hanging="360"/>
      </w:pPr>
    </w:lvl>
    <w:lvl w:ilvl="2" w:tplc="934A0096" w:tentative="1">
      <w:start w:val="1"/>
      <w:numFmt w:val="lowerRoman"/>
      <w:lvlText w:val="%3."/>
      <w:lvlJc w:val="right"/>
      <w:pPr>
        <w:ind w:left="3154" w:hanging="180"/>
      </w:pPr>
    </w:lvl>
    <w:lvl w:ilvl="3" w:tplc="F7425C68" w:tentative="1">
      <w:start w:val="1"/>
      <w:numFmt w:val="decimal"/>
      <w:lvlText w:val="%4."/>
      <w:lvlJc w:val="left"/>
      <w:pPr>
        <w:ind w:left="3874" w:hanging="360"/>
      </w:pPr>
    </w:lvl>
    <w:lvl w:ilvl="4" w:tplc="933E24D8" w:tentative="1">
      <w:start w:val="1"/>
      <w:numFmt w:val="lowerLetter"/>
      <w:lvlText w:val="%5."/>
      <w:lvlJc w:val="left"/>
      <w:pPr>
        <w:ind w:left="4594" w:hanging="360"/>
      </w:pPr>
    </w:lvl>
    <w:lvl w:ilvl="5" w:tplc="CAD03BF8" w:tentative="1">
      <w:start w:val="1"/>
      <w:numFmt w:val="lowerRoman"/>
      <w:lvlText w:val="%6."/>
      <w:lvlJc w:val="right"/>
      <w:pPr>
        <w:ind w:left="5314" w:hanging="180"/>
      </w:pPr>
    </w:lvl>
    <w:lvl w:ilvl="6" w:tplc="FEAEF466" w:tentative="1">
      <w:start w:val="1"/>
      <w:numFmt w:val="decimal"/>
      <w:lvlText w:val="%7."/>
      <w:lvlJc w:val="left"/>
      <w:pPr>
        <w:ind w:left="6034" w:hanging="360"/>
      </w:pPr>
    </w:lvl>
    <w:lvl w:ilvl="7" w:tplc="823A69C4" w:tentative="1">
      <w:start w:val="1"/>
      <w:numFmt w:val="lowerLetter"/>
      <w:lvlText w:val="%8."/>
      <w:lvlJc w:val="left"/>
      <w:pPr>
        <w:ind w:left="6754" w:hanging="360"/>
      </w:pPr>
    </w:lvl>
    <w:lvl w:ilvl="8" w:tplc="2156574A"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B4B2B7F4">
      <w:start w:val="1"/>
      <w:numFmt w:val="decimal"/>
      <w:lvlText w:val="Schedule %1"/>
      <w:lvlJc w:val="left"/>
      <w:pPr>
        <w:ind w:left="720" w:hanging="360"/>
      </w:pPr>
      <w:rPr>
        <w:rFonts w:hint="default"/>
        <w:color w:val="000000"/>
      </w:rPr>
    </w:lvl>
    <w:lvl w:ilvl="1" w:tplc="A47A45F2" w:tentative="1">
      <w:start w:val="1"/>
      <w:numFmt w:val="lowerLetter"/>
      <w:lvlText w:val="%2."/>
      <w:lvlJc w:val="left"/>
      <w:pPr>
        <w:ind w:left="1440" w:hanging="360"/>
      </w:pPr>
    </w:lvl>
    <w:lvl w:ilvl="2" w:tplc="AD88C884" w:tentative="1">
      <w:start w:val="1"/>
      <w:numFmt w:val="lowerRoman"/>
      <w:lvlText w:val="%3."/>
      <w:lvlJc w:val="right"/>
      <w:pPr>
        <w:ind w:left="2160" w:hanging="180"/>
      </w:pPr>
    </w:lvl>
    <w:lvl w:ilvl="3" w:tplc="F76C8F32" w:tentative="1">
      <w:start w:val="1"/>
      <w:numFmt w:val="decimal"/>
      <w:lvlText w:val="%4."/>
      <w:lvlJc w:val="left"/>
      <w:pPr>
        <w:ind w:left="2880" w:hanging="360"/>
      </w:pPr>
    </w:lvl>
    <w:lvl w:ilvl="4" w:tplc="1A8CE7B6" w:tentative="1">
      <w:start w:val="1"/>
      <w:numFmt w:val="lowerLetter"/>
      <w:lvlText w:val="%5."/>
      <w:lvlJc w:val="left"/>
      <w:pPr>
        <w:ind w:left="3600" w:hanging="360"/>
      </w:pPr>
    </w:lvl>
    <w:lvl w:ilvl="5" w:tplc="DC8A23D8" w:tentative="1">
      <w:start w:val="1"/>
      <w:numFmt w:val="lowerRoman"/>
      <w:lvlText w:val="%6."/>
      <w:lvlJc w:val="right"/>
      <w:pPr>
        <w:ind w:left="4320" w:hanging="180"/>
      </w:pPr>
    </w:lvl>
    <w:lvl w:ilvl="6" w:tplc="6EE82756" w:tentative="1">
      <w:start w:val="1"/>
      <w:numFmt w:val="decimal"/>
      <w:lvlText w:val="%7."/>
      <w:lvlJc w:val="left"/>
      <w:pPr>
        <w:ind w:left="5040" w:hanging="360"/>
      </w:pPr>
    </w:lvl>
    <w:lvl w:ilvl="7" w:tplc="7A06D814" w:tentative="1">
      <w:start w:val="1"/>
      <w:numFmt w:val="lowerLetter"/>
      <w:lvlText w:val="%8."/>
      <w:lvlJc w:val="left"/>
      <w:pPr>
        <w:ind w:left="5760" w:hanging="360"/>
      </w:pPr>
    </w:lvl>
    <w:lvl w:ilvl="8" w:tplc="2D6858F8"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D05CEDE6">
      <w:start w:val="1"/>
      <w:numFmt w:val="decimal"/>
      <w:pStyle w:val="ScheduleHeading-Single"/>
      <w:lvlText w:val="Schedule"/>
      <w:lvlJc w:val="left"/>
      <w:pPr>
        <w:tabs>
          <w:tab w:val="num" w:pos="720"/>
        </w:tabs>
        <w:ind w:left="720" w:hanging="720"/>
      </w:pPr>
      <w:rPr>
        <w:color w:val="000000"/>
      </w:rPr>
    </w:lvl>
    <w:lvl w:ilvl="1" w:tplc="57F4C712" w:tentative="1">
      <w:start w:val="1"/>
      <w:numFmt w:val="lowerLetter"/>
      <w:lvlText w:val="%2."/>
      <w:lvlJc w:val="left"/>
      <w:pPr>
        <w:tabs>
          <w:tab w:val="num" w:pos="1440"/>
        </w:tabs>
        <w:ind w:left="1440" w:hanging="360"/>
      </w:pPr>
    </w:lvl>
    <w:lvl w:ilvl="2" w:tplc="78889B32" w:tentative="1">
      <w:start w:val="1"/>
      <w:numFmt w:val="lowerRoman"/>
      <w:lvlText w:val="%3."/>
      <w:lvlJc w:val="right"/>
      <w:pPr>
        <w:tabs>
          <w:tab w:val="num" w:pos="2160"/>
        </w:tabs>
        <w:ind w:left="2160" w:hanging="180"/>
      </w:pPr>
    </w:lvl>
    <w:lvl w:ilvl="3" w:tplc="7576C010" w:tentative="1">
      <w:start w:val="1"/>
      <w:numFmt w:val="decimal"/>
      <w:lvlText w:val="%4."/>
      <w:lvlJc w:val="left"/>
      <w:pPr>
        <w:tabs>
          <w:tab w:val="num" w:pos="2880"/>
        </w:tabs>
        <w:ind w:left="2880" w:hanging="360"/>
      </w:pPr>
    </w:lvl>
    <w:lvl w:ilvl="4" w:tplc="D5B2C5D0" w:tentative="1">
      <w:start w:val="1"/>
      <w:numFmt w:val="lowerLetter"/>
      <w:lvlText w:val="%5."/>
      <w:lvlJc w:val="left"/>
      <w:pPr>
        <w:tabs>
          <w:tab w:val="num" w:pos="3600"/>
        </w:tabs>
        <w:ind w:left="3600" w:hanging="360"/>
      </w:pPr>
    </w:lvl>
    <w:lvl w:ilvl="5" w:tplc="65888A90" w:tentative="1">
      <w:start w:val="1"/>
      <w:numFmt w:val="lowerRoman"/>
      <w:lvlText w:val="%6."/>
      <w:lvlJc w:val="right"/>
      <w:pPr>
        <w:tabs>
          <w:tab w:val="num" w:pos="4320"/>
        </w:tabs>
        <w:ind w:left="4320" w:hanging="180"/>
      </w:pPr>
    </w:lvl>
    <w:lvl w:ilvl="6" w:tplc="3E546DD4" w:tentative="1">
      <w:start w:val="1"/>
      <w:numFmt w:val="decimal"/>
      <w:lvlText w:val="%7."/>
      <w:lvlJc w:val="left"/>
      <w:pPr>
        <w:tabs>
          <w:tab w:val="num" w:pos="5040"/>
        </w:tabs>
        <w:ind w:left="5040" w:hanging="360"/>
      </w:pPr>
    </w:lvl>
    <w:lvl w:ilvl="7" w:tplc="DC368476" w:tentative="1">
      <w:start w:val="1"/>
      <w:numFmt w:val="lowerLetter"/>
      <w:lvlText w:val="%8."/>
      <w:lvlJc w:val="left"/>
      <w:pPr>
        <w:tabs>
          <w:tab w:val="num" w:pos="5760"/>
        </w:tabs>
        <w:ind w:left="5760" w:hanging="360"/>
      </w:pPr>
    </w:lvl>
    <w:lvl w:ilvl="8" w:tplc="34C6DEFE"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1DE687A6">
      <w:start w:val="1"/>
      <w:numFmt w:val="decimal"/>
      <w:lvlText w:val="Part %1"/>
      <w:lvlJc w:val="left"/>
      <w:pPr>
        <w:ind w:left="720" w:hanging="360"/>
      </w:pPr>
      <w:rPr>
        <w:rFonts w:hint="default"/>
        <w:b/>
        <w:i w:val="0"/>
        <w:color w:val="000000"/>
      </w:rPr>
    </w:lvl>
    <w:lvl w:ilvl="1" w:tplc="6BE25678" w:tentative="1">
      <w:start w:val="1"/>
      <w:numFmt w:val="lowerLetter"/>
      <w:lvlText w:val="%2."/>
      <w:lvlJc w:val="left"/>
      <w:pPr>
        <w:ind w:left="1440" w:hanging="360"/>
      </w:pPr>
    </w:lvl>
    <w:lvl w:ilvl="2" w:tplc="B03EC9F0" w:tentative="1">
      <w:start w:val="1"/>
      <w:numFmt w:val="lowerRoman"/>
      <w:lvlText w:val="%3."/>
      <w:lvlJc w:val="right"/>
      <w:pPr>
        <w:ind w:left="2160" w:hanging="180"/>
      </w:pPr>
    </w:lvl>
    <w:lvl w:ilvl="3" w:tplc="A99A29D2" w:tentative="1">
      <w:start w:val="1"/>
      <w:numFmt w:val="decimal"/>
      <w:lvlText w:val="%4."/>
      <w:lvlJc w:val="left"/>
      <w:pPr>
        <w:ind w:left="2880" w:hanging="360"/>
      </w:pPr>
    </w:lvl>
    <w:lvl w:ilvl="4" w:tplc="AC5CCAE6" w:tentative="1">
      <w:start w:val="1"/>
      <w:numFmt w:val="lowerLetter"/>
      <w:lvlText w:val="%5."/>
      <w:lvlJc w:val="left"/>
      <w:pPr>
        <w:ind w:left="3600" w:hanging="360"/>
      </w:pPr>
    </w:lvl>
    <w:lvl w:ilvl="5" w:tplc="6980E7E8" w:tentative="1">
      <w:start w:val="1"/>
      <w:numFmt w:val="lowerRoman"/>
      <w:lvlText w:val="%6."/>
      <w:lvlJc w:val="right"/>
      <w:pPr>
        <w:ind w:left="4320" w:hanging="180"/>
      </w:pPr>
    </w:lvl>
    <w:lvl w:ilvl="6" w:tplc="2BFA9B58" w:tentative="1">
      <w:start w:val="1"/>
      <w:numFmt w:val="decimal"/>
      <w:lvlText w:val="%7."/>
      <w:lvlJc w:val="left"/>
      <w:pPr>
        <w:ind w:left="5040" w:hanging="360"/>
      </w:pPr>
    </w:lvl>
    <w:lvl w:ilvl="7" w:tplc="F6E43E90" w:tentative="1">
      <w:start w:val="1"/>
      <w:numFmt w:val="lowerLetter"/>
      <w:lvlText w:val="%8."/>
      <w:lvlJc w:val="left"/>
      <w:pPr>
        <w:ind w:left="5760" w:hanging="360"/>
      </w:pPr>
    </w:lvl>
    <w:lvl w:ilvl="8" w:tplc="9216EFD6"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35F69A9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BE0C760A" w:tentative="1">
      <w:start w:val="1"/>
      <w:numFmt w:val="lowerLetter"/>
      <w:lvlText w:val="%2."/>
      <w:lvlJc w:val="left"/>
      <w:pPr>
        <w:ind w:left="1440" w:hanging="360"/>
      </w:pPr>
    </w:lvl>
    <w:lvl w:ilvl="2" w:tplc="F09C3706" w:tentative="1">
      <w:start w:val="1"/>
      <w:numFmt w:val="lowerRoman"/>
      <w:lvlText w:val="%3."/>
      <w:lvlJc w:val="right"/>
      <w:pPr>
        <w:ind w:left="2160" w:hanging="180"/>
      </w:pPr>
    </w:lvl>
    <w:lvl w:ilvl="3" w:tplc="56FC6418" w:tentative="1">
      <w:start w:val="1"/>
      <w:numFmt w:val="decimal"/>
      <w:lvlText w:val="%4."/>
      <w:lvlJc w:val="left"/>
      <w:pPr>
        <w:ind w:left="2880" w:hanging="360"/>
      </w:pPr>
    </w:lvl>
    <w:lvl w:ilvl="4" w:tplc="63D085CE" w:tentative="1">
      <w:start w:val="1"/>
      <w:numFmt w:val="lowerLetter"/>
      <w:lvlText w:val="%5."/>
      <w:lvlJc w:val="left"/>
      <w:pPr>
        <w:ind w:left="3600" w:hanging="360"/>
      </w:pPr>
    </w:lvl>
    <w:lvl w:ilvl="5" w:tplc="A2B8E1D0" w:tentative="1">
      <w:start w:val="1"/>
      <w:numFmt w:val="lowerRoman"/>
      <w:lvlText w:val="%6."/>
      <w:lvlJc w:val="right"/>
      <w:pPr>
        <w:ind w:left="4320" w:hanging="180"/>
      </w:pPr>
    </w:lvl>
    <w:lvl w:ilvl="6" w:tplc="8E48EDE8" w:tentative="1">
      <w:start w:val="1"/>
      <w:numFmt w:val="decimal"/>
      <w:lvlText w:val="%7."/>
      <w:lvlJc w:val="left"/>
      <w:pPr>
        <w:ind w:left="5040" w:hanging="360"/>
      </w:pPr>
    </w:lvl>
    <w:lvl w:ilvl="7" w:tplc="8DD800B4" w:tentative="1">
      <w:start w:val="1"/>
      <w:numFmt w:val="lowerLetter"/>
      <w:lvlText w:val="%8."/>
      <w:lvlJc w:val="left"/>
      <w:pPr>
        <w:ind w:left="5760" w:hanging="360"/>
      </w:pPr>
    </w:lvl>
    <w:lvl w:ilvl="8" w:tplc="718A3D02"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ECAAC66E">
      <w:start w:val="1"/>
      <w:numFmt w:val="decimal"/>
      <w:pStyle w:val="QuestionParagraph"/>
      <w:lvlText w:val="%1."/>
      <w:lvlJc w:val="left"/>
      <w:pPr>
        <w:ind w:left="720" w:hanging="360"/>
      </w:pPr>
      <w:rPr>
        <w:color w:val="000000"/>
      </w:rPr>
    </w:lvl>
    <w:lvl w:ilvl="1" w:tplc="0FC8AC34" w:tentative="1">
      <w:start w:val="1"/>
      <w:numFmt w:val="lowerLetter"/>
      <w:lvlText w:val="%2."/>
      <w:lvlJc w:val="left"/>
      <w:pPr>
        <w:ind w:left="1440" w:hanging="360"/>
      </w:pPr>
    </w:lvl>
    <w:lvl w:ilvl="2" w:tplc="FB2A3622" w:tentative="1">
      <w:start w:val="1"/>
      <w:numFmt w:val="lowerRoman"/>
      <w:lvlText w:val="%3."/>
      <w:lvlJc w:val="right"/>
      <w:pPr>
        <w:ind w:left="2160" w:hanging="180"/>
      </w:pPr>
    </w:lvl>
    <w:lvl w:ilvl="3" w:tplc="150CE530" w:tentative="1">
      <w:start w:val="1"/>
      <w:numFmt w:val="decimal"/>
      <w:lvlText w:val="%4."/>
      <w:lvlJc w:val="left"/>
      <w:pPr>
        <w:ind w:left="2880" w:hanging="360"/>
      </w:pPr>
    </w:lvl>
    <w:lvl w:ilvl="4" w:tplc="011272BA" w:tentative="1">
      <w:start w:val="1"/>
      <w:numFmt w:val="lowerLetter"/>
      <w:lvlText w:val="%5."/>
      <w:lvlJc w:val="left"/>
      <w:pPr>
        <w:ind w:left="3600" w:hanging="360"/>
      </w:pPr>
    </w:lvl>
    <w:lvl w:ilvl="5" w:tplc="CECE2D32" w:tentative="1">
      <w:start w:val="1"/>
      <w:numFmt w:val="lowerRoman"/>
      <w:lvlText w:val="%6."/>
      <w:lvlJc w:val="right"/>
      <w:pPr>
        <w:ind w:left="4320" w:hanging="180"/>
      </w:pPr>
    </w:lvl>
    <w:lvl w:ilvl="6" w:tplc="5508A69C" w:tentative="1">
      <w:start w:val="1"/>
      <w:numFmt w:val="decimal"/>
      <w:lvlText w:val="%7."/>
      <w:lvlJc w:val="left"/>
      <w:pPr>
        <w:ind w:left="5040" w:hanging="360"/>
      </w:pPr>
    </w:lvl>
    <w:lvl w:ilvl="7" w:tplc="344E0226" w:tentative="1">
      <w:start w:val="1"/>
      <w:numFmt w:val="lowerLetter"/>
      <w:lvlText w:val="%8."/>
      <w:lvlJc w:val="left"/>
      <w:pPr>
        <w:ind w:left="5760" w:hanging="360"/>
      </w:pPr>
    </w:lvl>
    <w:lvl w:ilvl="8" w:tplc="ECDEBB60"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A9BC3DFE">
      <w:start w:val="1"/>
      <w:numFmt w:val="bullet"/>
      <w:pStyle w:val="subclause2Bullet2"/>
      <w:lvlText w:val=""/>
      <w:lvlJc w:val="left"/>
      <w:pPr>
        <w:ind w:left="2279" w:hanging="360"/>
      </w:pPr>
      <w:rPr>
        <w:rFonts w:ascii="Symbol" w:hAnsi="Symbol" w:hint="default"/>
        <w:color w:val="000000"/>
      </w:rPr>
    </w:lvl>
    <w:lvl w:ilvl="1" w:tplc="9F122302" w:tentative="1">
      <w:start w:val="1"/>
      <w:numFmt w:val="bullet"/>
      <w:lvlText w:val="o"/>
      <w:lvlJc w:val="left"/>
      <w:pPr>
        <w:ind w:left="2999" w:hanging="360"/>
      </w:pPr>
      <w:rPr>
        <w:rFonts w:ascii="Courier New" w:hAnsi="Courier New" w:cs="Courier New" w:hint="default"/>
      </w:rPr>
    </w:lvl>
    <w:lvl w:ilvl="2" w:tplc="5E5C59F6" w:tentative="1">
      <w:start w:val="1"/>
      <w:numFmt w:val="bullet"/>
      <w:lvlText w:val=""/>
      <w:lvlJc w:val="left"/>
      <w:pPr>
        <w:ind w:left="3719" w:hanging="360"/>
      </w:pPr>
      <w:rPr>
        <w:rFonts w:ascii="Wingdings" w:hAnsi="Wingdings" w:hint="default"/>
      </w:rPr>
    </w:lvl>
    <w:lvl w:ilvl="3" w:tplc="C2EC4CEE" w:tentative="1">
      <w:start w:val="1"/>
      <w:numFmt w:val="bullet"/>
      <w:lvlText w:val=""/>
      <w:lvlJc w:val="left"/>
      <w:pPr>
        <w:ind w:left="4439" w:hanging="360"/>
      </w:pPr>
      <w:rPr>
        <w:rFonts w:ascii="Symbol" w:hAnsi="Symbol" w:hint="default"/>
      </w:rPr>
    </w:lvl>
    <w:lvl w:ilvl="4" w:tplc="BF48A45E" w:tentative="1">
      <w:start w:val="1"/>
      <w:numFmt w:val="bullet"/>
      <w:lvlText w:val="o"/>
      <w:lvlJc w:val="left"/>
      <w:pPr>
        <w:ind w:left="5159" w:hanging="360"/>
      </w:pPr>
      <w:rPr>
        <w:rFonts w:ascii="Courier New" w:hAnsi="Courier New" w:cs="Courier New" w:hint="default"/>
      </w:rPr>
    </w:lvl>
    <w:lvl w:ilvl="5" w:tplc="385462DE" w:tentative="1">
      <w:start w:val="1"/>
      <w:numFmt w:val="bullet"/>
      <w:lvlText w:val=""/>
      <w:lvlJc w:val="left"/>
      <w:pPr>
        <w:ind w:left="5879" w:hanging="360"/>
      </w:pPr>
      <w:rPr>
        <w:rFonts w:ascii="Wingdings" w:hAnsi="Wingdings" w:hint="default"/>
      </w:rPr>
    </w:lvl>
    <w:lvl w:ilvl="6" w:tplc="68761660" w:tentative="1">
      <w:start w:val="1"/>
      <w:numFmt w:val="bullet"/>
      <w:lvlText w:val=""/>
      <w:lvlJc w:val="left"/>
      <w:pPr>
        <w:ind w:left="6599" w:hanging="360"/>
      </w:pPr>
      <w:rPr>
        <w:rFonts w:ascii="Symbol" w:hAnsi="Symbol" w:hint="default"/>
      </w:rPr>
    </w:lvl>
    <w:lvl w:ilvl="7" w:tplc="CCD0E8E6" w:tentative="1">
      <w:start w:val="1"/>
      <w:numFmt w:val="bullet"/>
      <w:lvlText w:val="o"/>
      <w:lvlJc w:val="left"/>
      <w:pPr>
        <w:ind w:left="7319" w:hanging="360"/>
      </w:pPr>
      <w:rPr>
        <w:rFonts w:ascii="Courier New" w:hAnsi="Courier New" w:cs="Courier New" w:hint="default"/>
      </w:rPr>
    </w:lvl>
    <w:lvl w:ilvl="8" w:tplc="71B0D7A8"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89446832">
      <w:start w:val="1"/>
      <w:numFmt w:val="bullet"/>
      <w:pStyle w:val="BulletList2"/>
      <w:lvlText w:val=""/>
      <w:lvlJc w:val="left"/>
      <w:pPr>
        <w:tabs>
          <w:tab w:val="num" w:pos="1077"/>
        </w:tabs>
        <w:ind w:left="1077" w:hanging="357"/>
      </w:pPr>
      <w:rPr>
        <w:rFonts w:ascii="Symbol" w:hAnsi="Symbol" w:hint="default"/>
        <w:color w:val="000000"/>
      </w:rPr>
    </w:lvl>
    <w:lvl w:ilvl="1" w:tplc="C68A5858" w:tentative="1">
      <w:start w:val="1"/>
      <w:numFmt w:val="bullet"/>
      <w:lvlText w:val="o"/>
      <w:lvlJc w:val="left"/>
      <w:pPr>
        <w:tabs>
          <w:tab w:val="num" w:pos="1440"/>
        </w:tabs>
        <w:ind w:left="1440" w:hanging="360"/>
      </w:pPr>
      <w:rPr>
        <w:rFonts w:ascii="Courier New" w:hAnsi="Courier New" w:cs="Courier New" w:hint="default"/>
      </w:rPr>
    </w:lvl>
    <w:lvl w:ilvl="2" w:tplc="A5AE8C1C" w:tentative="1">
      <w:start w:val="1"/>
      <w:numFmt w:val="bullet"/>
      <w:lvlText w:val=""/>
      <w:lvlJc w:val="left"/>
      <w:pPr>
        <w:tabs>
          <w:tab w:val="num" w:pos="2160"/>
        </w:tabs>
        <w:ind w:left="2160" w:hanging="360"/>
      </w:pPr>
      <w:rPr>
        <w:rFonts w:ascii="Wingdings" w:hAnsi="Wingdings" w:hint="default"/>
      </w:rPr>
    </w:lvl>
    <w:lvl w:ilvl="3" w:tplc="B1907606" w:tentative="1">
      <w:start w:val="1"/>
      <w:numFmt w:val="bullet"/>
      <w:lvlText w:val=""/>
      <w:lvlJc w:val="left"/>
      <w:pPr>
        <w:tabs>
          <w:tab w:val="num" w:pos="2880"/>
        </w:tabs>
        <w:ind w:left="2880" w:hanging="360"/>
      </w:pPr>
      <w:rPr>
        <w:rFonts w:ascii="Symbol" w:hAnsi="Symbol" w:hint="default"/>
      </w:rPr>
    </w:lvl>
    <w:lvl w:ilvl="4" w:tplc="6686C23A" w:tentative="1">
      <w:start w:val="1"/>
      <w:numFmt w:val="bullet"/>
      <w:lvlText w:val="o"/>
      <w:lvlJc w:val="left"/>
      <w:pPr>
        <w:tabs>
          <w:tab w:val="num" w:pos="3600"/>
        </w:tabs>
        <w:ind w:left="3600" w:hanging="360"/>
      </w:pPr>
      <w:rPr>
        <w:rFonts w:ascii="Courier New" w:hAnsi="Courier New" w:cs="Courier New" w:hint="default"/>
      </w:rPr>
    </w:lvl>
    <w:lvl w:ilvl="5" w:tplc="BD46D210" w:tentative="1">
      <w:start w:val="1"/>
      <w:numFmt w:val="bullet"/>
      <w:lvlText w:val=""/>
      <w:lvlJc w:val="left"/>
      <w:pPr>
        <w:tabs>
          <w:tab w:val="num" w:pos="4320"/>
        </w:tabs>
        <w:ind w:left="4320" w:hanging="360"/>
      </w:pPr>
      <w:rPr>
        <w:rFonts w:ascii="Wingdings" w:hAnsi="Wingdings" w:hint="default"/>
      </w:rPr>
    </w:lvl>
    <w:lvl w:ilvl="6" w:tplc="5F84A7B4" w:tentative="1">
      <w:start w:val="1"/>
      <w:numFmt w:val="bullet"/>
      <w:lvlText w:val=""/>
      <w:lvlJc w:val="left"/>
      <w:pPr>
        <w:tabs>
          <w:tab w:val="num" w:pos="5040"/>
        </w:tabs>
        <w:ind w:left="5040" w:hanging="360"/>
      </w:pPr>
      <w:rPr>
        <w:rFonts w:ascii="Symbol" w:hAnsi="Symbol" w:hint="default"/>
      </w:rPr>
    </w:lvl>
    <w:lvl w:ilvl="7" w:tplc="1420979E" w:tentative="1">
      <w:start w:val="1"/>
      <w:numFmt w:val="bullet"/>
      <w:lvlText w:val="o"/>
      <w:lvlJc w:val="left"/>
      <w:pPr>
        <w:tabs>
          <w:tab w:val="num" w:pos="5760"/>
        </w:tabs>
        <w:ind w:left="5760" w:hanging="360"/>
      </w:pPr>
      <w:rPr>
        <w:rFonts w:ascii="Courier New" w:hAnsi="Courier New" w:cs="Courier New" w:hint="default"/>
      </w:rPr>
    </w:lvl>
    <w:lvl w:ilvl="8" w:tplc="098C792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33628E20">
      <w:start w:val="1"/>
      <w:numFmt w:val="bullet"/>
      <w:pStyle w:val="Bullet4"/>
      <w:lvlText w:val=""/>
      <w:lvlJc w:val="left"/>
      <w:pPr>
        <w:tabs>
          <w:tab w:val="num" w:pos="2676"/>
        </w:tabs>
        <w:ind w:left="2676" w:hanging="357"/>
      </w:pPr>
      <w:rPr>
        <w:rFonts w:ascii="Symbol" w:hAnsi="Symbol" w:hint="default"/>
        <w:color w:val="000000"/>
      </w:rPr>
    </w:lvl>
    <w:lvl w:ilvl="1" w:tplc="0AC2FB3C" w:tentative="1">
      <w:start w:val="1"/>
      <w:numFmt w:val="bullet"/>
      <w:lvlText w:val="o"/>
      <w:lvlJc w:val="left"/>
      <w:pPr>
        <w:tabs>
          <w:tab w:val="num" w:pos="1440"/>
        </w:tabs>
        <w:ind w:left="1440" w:hanging="360"/>
      </w:pPr>
      <w:rPr>
        <w:rFonts w:ascii="Courier New" w:hAnsi="Courier New" w:cs="Courier New" w:hint="default"/>
      </w:rPr>
    </w:lvl>
    <w:lvl w:ilvl="2" w:tplc="C73E2E16" w:tentative="1">
      <w:start w:val="1"/>
      <w:numFmt w:val="bullet"/>
      <w:lvlText w:val=""/>
      <w:lvlJc w:val="left"/>
      <w:pPr>
        <w:tabs>
          <w:tab w:val="num" w:pos="2160"/>
        </w:tabs>
        <w:ind w:left="2160" w:hanging="360"/>
      </w:pPr>
      <w:rPr>
        <w:rFonts w:ascii="Wingdings" w:hAnsi="Wingdings" w:hint="default"/>
      </w:rPr>
    </w:lvl>
    <w:lvl w:ilvl="3" w:tplc="8BA27024" w:tentative="1">
      <w:start w:val="1"/>
      <w:numFmt w:val="bullet"/>
      <w:lvlText w:val=""/>
      <w:lvlJc w:val="left"/>
      <w:pPr>
        <w:tabs>
          <w:tab w:val="num" w:pos="2880"/>
        </w:tabs>
        <w:ind w:left="2880" w:hanging="360"/>
      </w:pPr>
      <w:rPr>
        <w:rFonts w:ascii="Symbol" w:hAnsi="Symbol" w:hint="default"/>
      </w:rPr>
    </w:lvl>
    <w:lvl w:ilvl="4" w:tplc="9C34FC9A" w:tentative="1">
      <w:start w:val="1"/>
      <w:numFmt w:val="bullet"/>
      <w:lvlText w:val="o"/>
      <w:lvlJc w:val="left"/>
      <w:pPr>
        <w:tabs>
          <w:tab w:val="num" w:pos="3600"/>
        </w:tabs>
        <w:ind w:left="3600" w:hanging="360"/>
      </w:pPr>
      <w:rPr>
        <w:rFonts w:ascii="Courier New" w:hAnsi="Courier New" w:cs="Courier New" w:hint="default"/>
      </w:rPr>
    </w:lvl>
    <w:lvl w:ilvl="5" w:tplc="416ACD06" w:tentative="1">
      <w:start w:val="1"/>
      <w:numFmt w:val="bullet"/>
      <w:lvlText w:val=""/>
      <w:lvlJc w:val="left"/>
      <w:pPr>
        <w:tabs>
          <w:tab w:val="num" w:pos="4320"/>
        </w:tabs>
        <w:ind w:left="4320" w:hanging="360"/>
      </w:pPr>
      <w:rPr>
        <w:rFonts w:ascii="Wingdings" w:hAnsi="Wingdings" w:hint="default"/>
      </w:rPr>
    </w:lvl>
    <w:lvl w:ilvl="6" w:tplc="FD7417B6" w:tentative="1">
      <w:start w:val="1"/>
      <w:numFmt w:val="bullet"/>
      <w:lvlText w:val=""/>
      <w:lvlJc w:val="left"/>
      <w:pPr>
        <w:tabs>
          <w:tab w:val="num" w:pos="5040"/>
        </w:tabs>
        <w:ind w:left="5040" w:hanging="360"/>
      </w:pPr>
      <w:rPr>
        <w:rFonts w:ascii="Symbol" w:hAnsi="Symbol" w:hint="default"/>
      </w:rPr>
    </w:lvl>
    <w:lvl w:ilvl="7" w:tplc="1EAC0F8A" w:tentative="1">
      <w:start w:val="1"/>
      <w:numFmt w:val="bullet"/>
      <w:lvlText w:val="o"/>
      <w:lvlJc w:val="left"/>
      <w:pPr>
        <w:tabs>
          <w:tab w:val="num" w:pos="5760"/>
        </w:tabs>
        <w:ind w:left="5760" w:hanging="360"/>
      </w:pPr>
      <w:rPr>
        <w:rFonts w:ascii="Courier New" w:hAnsi="Courier New" w:cs="Courier New" w:hint="default"/>
      </w:rPr>
    </w:lvl>
    <w:lvl w:ilvl="8" w:tplc="75CC90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7832B1FA">
      <w:start w:val="1"/>
      <w:numFmt w:val="bullet"/>
      <w:pStyle w:val="ClauseBullet2"/>
      <w:lvlText w:val=""/>
      <w:lvlJc w:val="left"/>
      <w:pPr>
        <w:ind w:left="1440" w:hanging="360"/>
      </w:pPr>
      <w:rPr>
        <w:rFonts w:ascii="Symbol" w:hAnsi="Symbol" w:hint="default"/>
        <w:color w:val="000000"/>
      </w:rPr>
    </w:lvl>
    <w:lvl w:ilvl="1" w:tplc="3FE251CC" w:tentative="1">
      <w:start w:val="1"/>
      <w:numFmt w:val="bullet"/>
      <w:lvlText w:val="o"/>
      <w:lvlJc w:val="left"/>
      <w:pPr>
        <w:ind w:left="2160" w:hanging="360"/>
      </w:pPr>
      <w:rPr>
        <w:rFonts w:ascii="Courier New" w:hAnsi="Courier New" w:cs="Courier New" w:hint="default"/>
      </w:rPr>
    </w:lvl>
    <w:lvl w:ilvl="2" w:tplc="97ECD85C" w:tentative="1">
      <w:start w:val="1"/>
      <w:numFmt w:val="bullet"/>
      <w:lvlText w:val=""/>
      <w:lvlJc w:val="left"/>
      <w:pPr>
        <w:ind w:left="2880" w:hanging="360"/>
      </w:pPr>
      <w:rPr>
        <w:rFonts w:ascii="Wingdings" w:hAnsi="Wingdings" w:hint="default"/>
      </w:rPr>
    </w:lvl>
    <w:lvl w:ilvl="3" w:tplc="C72A26B2" w:tentative="1">
      <w:start w:val="1"/>
      <w:numFmt w:val="bullet"/>
      <w:lvlText w:val=""/>
      <w:lvlJc w:val="left"/>
      <w:pPr>
        <w:ind w:left="3600" w:hanging="360"/>
      </w:pPr>
      <w:rPr>
        <w:rFonts w:ascii="Symbol" w:hAnsi="Symbol" w:hint="default"/>
      </w:rPr>
    </w:lvl>
    <w:lvl w:ilvl="4" w:tplc="C69AA656" w:tentative="1">
      <w:start w:val="1"/>
      <w:numFmt w:val="bullet"/>
      <w:lvlText w:val="o"/>
      <w:lvlJc w:val="left"/>
      <w:pPr>
        <w:ind w:left="4320" w:hanging="360"/>
      </w:pPr>
      <w:rPr>
        <w:rFonts w:ascii="Courier New" w:hAnsi="Courier New" w:cs="Courier New" w:hint="default"/>
      </w:rPr>
    </w:lvl>
    <w:lvl w:ilvl="5" w:tplc="E212870E" w:tentative="1">
      <w:start w:val="1"/>
      <w:numFmt w:val="bullet"/>
      <w:lvlText w:val=""/>
      <w:lvlJc w:val="left"/>
      <w:pPr>
        <w:ind w:left="5040" w:hanging="360"/>
      </w:pPr>
      <w:rPr>
        <w:rFonts w:ascii="Wingdings" w:hAnsi="Wingdings" w:hint="default"/>
      </w:rPr>
    </w:lvl>
    <w:lvl w:ilvl="6" w:tplc="C1A677C4" w:tentative="1">
      <w:start w:val="1"/>
      <w:numFmt w:val="bullet"/>
      <w:lvlText w:val=""/>
      <w:lvlJc w:val="left"/>
      <w:pPr>
        <w:ind w:left="5760" w:hanging="360"/>
      </w:pPr>
      <w:rPr>
        <w:rFonts w:ascii="Symbol" w:hAnsi="Symbol" w:hint="default"/>
      </w:rPr>
    </w:lvl>
    <w:lvl w:ilvl="7" w:tplc="0778E5F4" w:tentative="1">
      <w:start w:val="1"/>
      <w:numFmt w:val="bullet"/>
      <w:lvlText w:val="o"/>
      <w:lvlJc w:val="left"/>
      <w:pPr>
        <w:ind w:left="6480" w:hanging="360"/>
      </w:pPr>
      <w:rPr>
        <w:rFonts w:ascii="Courier New" w:hAnsi="Courier New" w:cs="Courier New" w:hint="default"/>
      </w:rPr>
    </w:lvl>
    <w:lvl w:ilvl="8" w:tplc="5266935A"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1C1A9694">
      <w:start w:val="1"/>
      <w:numFmt w:val="bullet"/>
      <w:lvlText w:val=""/>
      <w:lvlJc w:val="left"/>
      <w:pPr>
        <w:ind w:left="720" w:hanging="360"/>
      </w:pPr>
      <w:rPr>
        <w:rFonts w:ascii="Symbol" w:hAnsi="Symbol" w:hint="default"/>
        <w:color w:val="000000"/>
      </w:rPr>
    </w:lvl>
    <w:lvl w:ilvl="1" w:tplc="4802E602" w:tentative="1">
      <w:start w:val="1"/>
      <w:numFmt w:val="bullet"/>
      <w:lvlText w:val="o"/>
      <w:lvlJc w:val="left"/>
      <w:pPr>
        <w:ind w:left="1440" w:hanging="360"/>
      </w:pPr>
      <w:rPr>
        <w:rFonts w:ascii="Courier New" w:hAnsi="Courier New" w:cs="Courier New" w:hint="default"/>
      </w:rPr>
    </w:lvl>
    <w:lvl w:ilvl="2" w:tplc="79D44D0A" w:tentative="1">
      <w:start w:val="1"/>
      <w:numFmt w:val="bullet"/>
      <w:lvlText w:val=""/>
      <w:lvlJc w:val="left"/>
      <w:pPr>
        <w:ind w:left="2160" w:hanging="360"/>
      </w:pPr>
      <w:rPr>
        <w:rFonts w:ascii="Wingdings" w:hAnsi="Wingdings" w:hint="default"/>
      </w:rPr>
    </w:lvl>
    <w:lvl w:ilvl="3" w:tplc="E0443AAA" w:tentative="1">
      <w:start w:val="1"/>
      <w:numFmt w:val="bullet"/>
      <w:lvlText w:val=""/>
      <w:lvlJc w:val="left"/>
      <w:pPr>
        <w:ind w:left="2880" w:hanging="360"/>
      </w:pPr>
      <w:rPr>
        <w:rFonts w:ascii="Symbol" w:hAnsi="Symbol" w:hint="default"/>
      </w:rPr>
    </w:lvl>
    <w:lvl w:ilvl="4" w:tplc="00DC4F6C" w:tentative="1">
      <w:start w:val="1"/>
      <w:numFmt w:val="bullet"/>
      <w:lvlText w:val="o"/>
      <w:lvlJc w:val="left"/>
      <w:pPr>
        <w:ind w:left="3600" w:hanging="360"/>
      </w:pPr>
      <w:rPr>
        <w:rFonts w:ascii="Courier New" w:hAnsi="Courier New" w:cs="Courier New" w:hint="default"/>
      </w:rPr>
    </w:lvl>
    <w:lvl w:ilvl="5" w:tplc="4CE8CA2E" w:tentative="1">
      <w:start w:val="1"/>
      <w:numFmt w:val="bullet"/>
      <w:lvlText w:val=""/>
      <w:lvlJc w:val="left"/>
      <w:pPr>
        <w:ind w:left="4320" w:hanging="360"/>
      </w:pPr>
      <w:rPr>
        <w:rFonts w:ascii="Wingdings" w:hAnsi="Wingdings" w:hint="default"/>
      </w:rPr>
    </w:lvl>
    <w:lvl w:ilvl="6" w:tplc="DE3E7414" w:tentative="1">
      <w:start w:val="1"/>
      <w:numFmt w:val="bullet"/>
      <w:lvlText w:val=""/>
      <w:lvlJc w:val="left"/>
      <w:pPr>
        <w:ind w:left="5040" w:hanging="360"/>
      </w:pPr>
      <w:rPr>
        <w:rFonts w:ascii="Symbol" w:hAnsi="Symbol" w:hint="default"/>
      </w:rPr>
    </w:lvl>
    <w:lvl w:ilvl="7" w:tplc="966417D8" w:tentative="1">
      <w:start w:val="1"/>
      <w:numFmt w:val="bullet"/>
      <w:lvlText w:val="o"/>
      <w:lvlJc w:val="left"/>
      <w:pPr>
        <w:ind w:left="5760" w:hanging="360"/>
      </w:pPr>
      <w:rPr>
        <w:rFonts w:ascii="Courier New" w:hAnsi="Courier New" w:cs="Courier New" w:hint="default"/>
      </w:rPr>
    </w:lvl>
    <w:lvl w:ilvl="8" w:tplc="3F202D78"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0A607CA8">
      <w:start w:val="1"/>
      <w:numFmt w:val="bullet"/>
      <w:pStyle w:val="subclause1Bullet2"/>
      <w:lvlText w:val=""/>
      <w:lvlJc w:val="left"/>
      <w:pPr>
        <w:ind w:left="1440" w:hanging="360"/>
      </w:pPr>
      <w:rPr>
        <w:rFonts w:ascii="Symbol" w:hAnsi="Symbol" w:hint="default"/>
        <w:color w:val="000000"/>
      </w:rPr>
    </w:lvl>
    <w:lvl w:ilvl="1" w:tplc="B2DE731C" w:tentative="1">
      <w:start w:val="1"/>
      <w:numFmt w:val="bullet"/>
      <w:lvlText w:val="o"/>
      <w:lvlJc w:val="left"/>
      <w:pPr>
        <w:ind w:left="2160" w:hanging="360"/>
      </w:pPr>
      <w:rPr>
        <w:rFonts w:ascii="Courier New" w:hAnsi="Courier New" w:cs="Courier New" w:hint="default"/>
      </w:rPr>
    </w:lvl>
    <w:lvl w:ilvl="2" w:tplc="79BCBD68" w:tentative="1">
      <w:start w:val="1"/>
      <w:numFmt w:val="bullet"/>
      <w:lvlText w:val=""/>
      <w:lvlJc w:val="left"/>
      <w:pPr>
        <w:ind w:left="2880" w:hanging="360"/>
      </w:pPr>
      <w:rPr>
        <w:rFonts w:ascii="Wingdings" w:hAnsi="Wingdings" w:hint="default"/>
      </w:rPr>
    </w:lvl>
    <w:lvl w:ilvl="3" w:tplc="C9C89432" w:tentative="1">
      <w:start w:val="1"/>
      <w:numFmt w:val="bullet"/>
      <w:lvlText w:val=""/>
      <w:lvlJc w:val="left"/>
      <w:pPr>
        <w:ind w:left="3600" w:hanging="360"/>
      </w:pPr>
      <w:rPr>
        <w:rFonts w:ascii="Symbol" w:hAnsi="Symbol" w:hint="default"/>
      </w:rPr>
    </w:lvl>
    <w:lvl w:ilvl="4" w:tplc="C8FC26D0" w:tentative="1">
      <w:start w:val="1"/>
      <w:numFmt w:val="bullet"/>
      <w:lvlText w:val="o"/>
      <w:lvlJc w:val="left"/>
      <w:pPr>
        <w:ind w:left="4320" w:hanging="360"/>
      </w:pPr>
      <w:rPr>
        <w:rFonts w:ascii="Courier New" w:hAnsi="Courier New" w:cs="Courier New" w:hint="default"/>
      </w:rPr>
    </w:lvl>
    <w:lvl w:ilvl="5" w:tplc="4D180042" w:tentative="1">
      <w:start w:val="1"/>
      <w:numFmt w:val="bullet"/>
      <w:lvlText w:val=""/>
      <w:lvlJc w:val="left"/>
      <w:pPr>
        <w:ind w:left="5040" w:hanging="360"/>
      </w:pPr>
      <w:rPr>
        <w:rFonts w:ascii="Wingdings" w:hAnsi="Wingdings" w:hint="default"/>
      </w:rPr>
    </w:lvl>
    <w:lvl w:ilvl="6" w:tplc="1B886F54" w:tentative="1">
      <w:start w:val="1"/>
      <w:numFmt w:val="bullet"/>
      <w:lvlText w:val=""/>
      <w:lvlJc w:val="left"/>
      <w:pPr>
        <w:ind w:left="5760" w:hanging="360"/>
      </w:pPr>
      <w:rPr>
        <w:rFonts w:ascii="Symbol" w:hAnsi="Symbol" w:hint="default"/>
      </w:rPr>
    </w:lvl>
    <w:lvl w:ilvl="7" w:tplc="4FE45204" w:tentative="1">
      <w:start w:val="1"/>
      <w:numFmt w:val="bullet"/>
      <w:lvlText w:val="o"/>
      <w:lvlJc w:val="left"/>
      <w:pPr>
        <w:ind w:left="6480" w:hanging="360"/>
      </w:pPr>
      <w:rPr>
        <w:rFonts w:ascii="Courier New" w:hAnsi="Courier New" w:cs="Courier New" w:hint="default"/>
      </w:rPr>
    </w:lvl>
    <w:lvl w:ilvl="8" w:tplc="C576F3CC"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63262B2C">
      <w:start w:val="1"/>
      <w:numFmt w:val="bullet"/>
      <w:pStyle w:val="subclause3Bullet1"/>
      <w:lvlText w:val=""/>
      <w:lvlJc w:val="left"/>
      <w:pPr>
        <w:ind w:left="2988" w:hanging="360"/>
      </w:pPr>
      <w:rPr>
        <w:rFonts w:ascii="Symbol" w:hAnsi="Symbol" w:hint="default"/>
        <w:color w:val="000000"/>
      </w:rPr>
    </w:lvl>
    <w:lvl w:ilvl="1" w:tplc="8E2E0D08" w:tentative="1">
      <w:start w:val="1"/>
      <w:numFmt w:val="bullet"/>
      <w:lvlText w:val="o"/>
      <w:lvlJc w:val="left"/>
      <w:pPr>
        <w:ind w:left="3708" w:hanging="360"/>
      </w:pPr>
      <w:rPr>
        <w:rFonts w:ascii="Courier New" w:hAnsi="Courier New" w:cs="Courier New" w:hint="default"/>
      </w:rPr>
    </w:lvl>
    <w:lvl w:ilvl="2" w:tplc="3CA4C4DA" w:tentative="1">
      <w:start w:val="1"/>
      <w:numFmt w:val="bullet"/>
      <w:lvlText w:val=""/>
      <w:lvlJc w:val="left"/>
      <w:pPr>
        <w:ind w:left="4428" w:hanging="360"/>
      </w:pPr>
      <w:rPr>
        <w:rFonts w:ascii="Wingdings" w:hAnsi="Wingdings" w:hint="default"/>
      </w:rPr>
    </w:lvl>
    <w:lvl w:ilvl="3" w:tplc="89065080" w:tentative="1">
      <w:start w:val="1"/>
      <w:numFmt w:val="bullet"/>
      <w:lvlText w:val=""/>
      <w:lvlJc w:val="left"/>
      <w:pPr>
        <w:ind w:left="5148" w:hanging="360"/>
      </w:pPr>
      <w:rPr>
        <w:rFonts w:ascii="Symbol" w:hAnsi="Symbol" w:hint="default"/>
      </w:rPr>
    </w:lvl>
    <w:lvl w:ilvl="4" w:tplc="A01E2A82" w:tentative="1">
      <w:start w:val="1"/>
      <w:numFmt w:val="bullet"/>
      <w:lvlText w:val="o"/>
      <w:lvlJc w:val="left"/>
      <w:pPr>
        <w:ind w:left="5868" w:hanging="360"/>
      </w:pPr>
      <w:rPr>
        <w:rFonts w:ascii="Courier New" w:hAnsi="Courier New" w:cs="Courier New" w:hint="default"/>
      </w:rPr>
    </w:lvl>
    <w:lvl w:ilvl="5" w:tplc="081200C8" w:tentative="1">
      <w:start w:val="1"/>
      <w:numFmt w:val="bullet"/>
      <w:lvlText w:val=""/>
      <w:lvlJc w:val="left"/>
      <w:pPr>
        <w:ind w:left="6588" w:hanging="360"/>
      </w:pPr>
      <w:rPr>
        <w:rFonts w:ascii="Wingdings" w:hAnsi="Wingdings" w:hint="default"/>
      </w:rPr>
    </w:lvl>
    <w:lvl w:ilvl="6" w:tplc="394A51FA" w:tentative="1">
      <w:start w:val="1"/>
      <w:numFmt w:val="bullet"/>
      <w:lvlText w:val=""/>
      <w:lvlJc w:val="left"/>
      <w:pPr>
        <w:ind w:left="7308" w:hanging="360"/>
      </w:pPr>
      <w:rPr>
        <w:rFonts w:ascii="Symbol" w:hAnsi="Symbol" w:hint="default"/>
      </w:rPr>
    </w:lvl>
    <w:lvl w:ilvl="7" w:tplc="6A363AE0" w:tentative="1">
      <w:start w:val="1"/>
      <w:numFmt w:val="bullet"/>
      <w:lvlText w:val="o"/>
      <w:lvlJc w:val="left"/>
      <w:pPr>
        <w:ind w:left="8028" w:hanging="360"/>
      </w:pPr>
      <w:rPr>
        <w:rFonts w:ascii="Courier New" w:hAnsi="Courier New" w:cs="Courier New" w:hint="default"/>
      </w:rPr>
    </w:lvl>
    <w:lvl w:ilvl="8" w:tplc="14D0BADA"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0580478A">
      <w:start w:val="1"/>
      <w:numFmt w:val="bullet"/>
      <w:pStyle w:val="subclause2Bullet1"/>
      <w:lvlText w:val=""/>
      <w:lvlJc w:val="left"/>
      <w:pPr>
        <w:ind w:left="2279" w:hanging="360"/>
      </w:pPr>
      <w:rPr>
        <w:rFonts w:ascii="Symbol" w:hAnsi="Symbol" w:hint="default"/>
        <w:color w:val="000000"/>
      </w:rPr>
    </w:lvl>
    <w:lvl w:ilvl="1" w:tplc="EBF48E32" w:tentative="1">
      <w:start w:val="1"/>
      <w:numFmt w:val="bullet"/>
      <w:lvlText w:val="o"/>
      <w:lvlJc w:val="left"/>
      <w:pPr>
        <w:ind w:left="2999" w:hanging="360"/>
      </w:pPr>
      <w:rPr>
        <w:rFonts w:ascii="Courier New" w:hAnsi="Courier New" w:cs="Courier New" w:hint="default"/>
      </w:rPr>
    </w:lvl>
    <w:lvl w:ilvl="2" w:tplc="C096AB90" w:tentative="1">
      <w:start w:val="1"/>
      <w:numFmt w:val="bullet"/>
      <w:lvlText w:val=""/>
      <w:lvlJc w:val="left"/>
      <w:pPr>
        <w:ind w:left="3719" w:hanging="360"/>
      </w:pPr>
      <w:rPr>
        <w:rFonts w:ascii="Wingdings" w:hAnsi="Wingdings" w:hint="default"/>
      </w:rPr>
    </w:lvl>
    <w:lvl w:ilvl="3" w:tplc="632C2016" w:tentative="1">
      <w:start w:val="1"/>
      <w:numFmt w:val="bullet"/>
      <w:lvlText w:val=""/>
      <w:lvlJc w:val="left"/>
      <w:pPr>
        <w:ind w:left="4439" w:hanging="360"/>
      </w:pPr>
      <w:rPr>
        <w:rFonts w:ascii="Symbol" w:hAnsi="Symbol" w:hint="default"/>
      </w:rPr>
    </w:lvl>
    <w:lvl w:ilvl="4" w:tplc="2FCE643A" w:tentative="1">
      <w:start w:val="1"/>
      <w:numFmt w:val="bullet"/>
      <w:lvlText w:val="o"/>
      <w:lvlJc w:val="left"/>
      <w:pPr>
        <w:ind w:left="5159" w:hanging="360"/>
      </w:pPr>
      <w:rPr>
        <w:rFonts w:ascii="Courier New" w:hAnsi="Courier New" w:cs="Courier New" w:hint="default"/>
      </w:rPr>
    </w:lvl>
    <w:lvl w:ilvl="5" w:tplc="923A2C86" w:tentative="1">
      <w:start w:val="1"/>
      <w:numFmt w:val="bullet"/>
      <w:lvlText w:val=""/>
      <w:lvlJc w:val="left"/>
      <w:pPr>
        <w:ind w:left="5879" w:hanging="360"/>
      </w:pPr>
      <w:rPr>
        <w:rFonts w:ascii="Wingdings" w:hAnsi="Wingdings" w:hint="default"/>
      </w:rPr>
    </w:lvl>
    <w:lvl w:ilvl="6" w:tplc="5ADE84F0" w:tentative="1">
      <w:start w:val="1"/>
      <w:numFmt w:val="bullet"/>
      <w:lvlText w:val=""/>
      <w:lvlJc w:val="left"/>
      <w:pPr>
        <w:ind w:left="6599" w:hanging="360"/>
      </w:pPr>
      <w:rPr>
        <w:rFonts w:ascii="Symbol" w:hAnsi="Symbol" w:hint="default"/>
      </w:rPr>
    </w:lvl>
    <w:lvl w:ilvl="7" w:tplc="4EF0B720" w:tentative="1">
      <w:start w:val="1"/>
      <w:numFmt w:val="bullet"/>
      <w:lvlText w:val="o"/>
      <w:lvlJc w:val="left"/>
      <w:pPr>
        <w:ind w:left="7319" w:hanging="360"/>
      </w:pPr>
      <w:rPr>
        <w:rFonts w:ascii="Courier New" w:hAnsi="Courier New" w:cs="Courier New" w:hint="default"/>
      </w:rPr>
    </w:lvl>
    <w:lvl w:ilvl="8" w:tplc="FF9A6516"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1EBA365E">
      <w:start w:val="1"/>
      <w:numFmt w:val="bullet"/>
      <w:pStyle w:val="subclause1Bullet1"/>
      <w:lvlText w:val=""/>
      <w:lvlJc w:val="left"/>
      <w:pPr>
        <w:ind w:left="1440" w:hanging="360"/>
      </w:pPr>
      <w:rPr>
        <w:rFonts w:ascii="Symbol" w:hAnsi="Symbol" w:hint="default"/>
        <w:color w:val="000000"/>
      </w:rPr>
    </w:lvl>
    <w:lvl w:ilvl="1" w:tplc="191E05E4" w:tentative="1">
      <w:start w:val="1"/>
      <w:numFmt w:val="bullet"/>
      <w:lvlText w:val="o"/>
      <w:lvlJc w:val="left"/>
      <w:pPr>
        <w:ind w:left="2160" w:hanging="360"/>
      </w:pPr>
      <w:rPr>
        <w:rFonts w:ascii="Courier New" w:hAnsi="Courier New" w:cs="Courier New" w:hint="default"/>
      </w:rPr>
    </w:lvl>
    <w:lvl w:ilvl="2" w:tplc="6CF8F6AE" w:tentative="1">
      <w:start w:val="1"/>
      <w:numFmt w:val="bullet"/>
      <w:lvlText w:val=""/>
      <w:lvlJc w:val="left"/>
      <w:pPr>
        <w:ind w:left="2880" w:hanging="360"/>
      </w:pPr>
      <w:rPr>
        <w:rFonts w:ascii="Wingdings" w:hAnsi="Wingdings" w:hint="default"/>
      </w:rPr>
    </w:lvl>
    <w:lvl w:ilvl="3" w:tplc="2C1699F2" w:tentative="1">
      <w:start w:val="1"/>
      <w:numFmt w:val="bullet"/>
      <w:lvlText w:val=""/>
      <w:lvlJc w:val="left"/>
      <w:pPr>
        <w:ind w:left="3600" w:hanging="360"/>
      </w:pPr>
      <w:rPr>
        <w:rFonts w:ascii="Symbol" w:hAnsi="Symbol" w:hint="default"/>
      </w:rPr>
    </w:lvl>
    <w:lvl w:ilvl="4" w:tplc="87868DAC" w:tentative="1">
      <w:start w:val="1"/>
      <w:numFmt w:val="bullet"/>
      <w:lvlText w:val="o"/>
      <w:lvlJc w:val="left"/>
      <w:pPr>
        <w:ind w:left="4320" w:hanging="360"/>
      </w:pPr>
      <w:rPr>
        <w:rFonts w:ascii="Courier New" w:hAnsi="Courier New" w:cs="Courier New" w:hint="default"/>
      </w:rPr>
    </w:lvl>
    <w:lvl w:ilvl="5" w:tplc="A8DECF62" w:tentative="1">
      <w:start w:val="1"/>
      <w:numFmt w:val="bullet"/>
      <w:lvlText w:val=""/>
      <w:lvlJc w:val="left"/>
      <w:pPr>
        <w:ind w:left="5040" w:hanging="360"/>
      </w:pPr>
      <w:rPr>
        <w:rFonts w:ascii="Wingdings" w:hAnsi="Wingdings" w:hint="default"/>
      </w:rPr>
    </w:lvl>
    <w:lvl w:ilvl="6" w:tplc="8A0206B6" w:tentative="1">
      <w:start w:val="1"/>
      <w:numFmt w:val="bullet"/>
      <w:lvlText w:val=""/>
      <w:lvlJc w:val="left"/>
      <w:pPr>
        <w:ind w:left="5760" w:hanging="360"/>
      </w:pPr>
      <w:rPr>
        <w:rFonts w:ascii="Symbol" w:hAnsi="Symbol" w:hint="default"/>
      </w:rPr>
    </w:lvl>
    <w:lvl w:ilvl="7" w:tplc="CAE2CD18" w:tentative="1">
      <w:start w:val="1"/>
      <w:numFmt w:val="bullet"/>
      <w:lvlText w:val="o"/>
      <w:lvlJc w:val="left"/>
      <w:pPr>
        <w:ind w:left="6480" w:hanging="360"/>
      </w:pPr>
      <w:rPr>
        <w:rFonts w:ascii="Courier New" w:hAnsi="Courier New" w:cs="Courier New" w:hint="default"/>
      </w:rPr>
    </w:lvl>
    <w:lvl w:ilvl="8" w:tplc="9FCA93F2"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A22AB768">
      <w:start w:val="1"/>
      <w:numFmt w:val="decimal"/>
      <w:pStyle w:val="LongQuestionPara"/>
      <w:lvlText w:val="%1."/>
      <w:lvlJc w:val="left"/>
      <w:pPr>
        <w:ind w:left="360" w:hanging="360"/>
      </w:pPr>
      <w:rPr>
        <w:rFonts w:hint="default"/>
        <w:b/>
        <w:i w:val="0"/>
        <w:color w:val="000000"/>
        <w:sz w:val="24"/>
      </w:rPr>
    </w:lvl>
    <w:lvl w:ilvl="1" w:tplc="C92886C4" w:tentative="1">
      <w:start w:val="1"/>
      <w:numFmt w:val="lowerLetter"/>
      <w:lvlText w:val="%2."/>
      <w:lvlJc w:val="left"/>
      <w:pPr>
        <w:ind w:left="1440" w:hanging="360"/>
      </w:pPr>
    </w:lvl>
    <w:lvl w:ilvl="2" w:tplc="6C068D9A" w:tentative="1">
      <w:start w:val="1"/>
      <w:numFmt w:val="lowerRoman"/>
      <w:lvlText w:val="%3."/>
      <w:lvlJc w:val="right"/>
      <w:pPr>
        <w:ind w:left="2160" w:hanging="180"/>
      </w:pPr>
    </w:lvl>
    <w:lvl w:ilvl="3" w:tplc="C824C106" w:tentative="1">
      <w:start w:val="1"/>
      <w:numFmt w:val="decimal"/>
      <w:lvlText w:val="%4."/>
      <w:lvlJc w:val="left"/>
      <w:pPr>
        <w:ind w:left="2880" w:hanging="360"/>
      </w:pPr>
    </w:lvl>
    <w:lvl w:ilvl="4" w:tplc="95AA4040" w:tentative="1">
      <w:start w:val="1"/>
      <w:numFmt w:val="lowerLetter"/>
      <w:lvlText w:val="%5."/>
      <w:lvlJc w:val="left"/>
      <w:pPr>
        <w:ind w:left="3600" w:hanging="360"/>
      </w:pPr>
    </w:lvl>
    <w:lvl w:ilvl="5" w:tplc="60C6E800" w:tentative="1">
      <w:start w:val="1"/>
      <w:numFmt w:val="lowerRoman"/>
      <w:lvlText w:val="%6."/>
      <w:lvlJc w:val="right"/>
      <w:pPr>
        <w:ind w:left="4320" w:hanging="180"/>
      </w:pPr>
    </w:lvl>
    <w:lvl w:ilvl="6" w:tplc="DA9877CE" w:tentative="1">
      <w:start w:val="1"/>
      <w:numFmt w:val="decimal"/>
      <w:lvlText w:val="%7."/>
      <w:lvlJc w:val="left"/>
      <w:pPr>
        <w:ind w:left="5040" w:hanging="360"/>
      </w:pPr>
    </w:lvl>
    <w:lvl w:ilvl="7" w:tplc="B39024D6" w:tentative="1">
      <w:start w:val="1"/>
      <w:numFmt w:val="lowerLetter"/>
      <w:lvlText w:val="%8."/>
      <w:lvlJc w:val="left"/>
      <w:pPr>
        <w:ind w:left="5760" w:hanging="360"/>
      </w:pPr>
    </w:lvl>
    <w:lvl w:ilvl="8" w:tplc="9C948AE2"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672C9316">
      <w:start w:val="1"/>
      <w:numFmt w:val="lowerLetter"/>
      <w:lvlText w:val="(%1)"/>
      <w:lvlJc w:val="left"/>
      <w:pPr>
        <w:ind w:left="1440" w:hanging="360"/>
      </w:pPr>
      <w:rPr>
        <w:rFonts w:hint="default"/>
        <w:color w:val="000000"/>
      </w:rPr>
    </w:lvl>
    <w:lvl w:ilvl="1" w:tplc="55AE7D18" w:tentative="1">
      <w:start w:val="1"/>
      <w:numFmt w:val="lowerLetter"/>
      <w:lvlText w:val="%2."/>
      <w:lvlJc w:val="left"/>
      <w:pPr>
        <w:ind w:left="2160" w:hanging="360"/>
      </w:pPr>
    </w:lvl>
    <w:lvl w:ilvl="2" w:tplc="690C72F4" w:tentative="1">
      <w:start w:val="1"/>
      <w:numFmt w:val="lowerRoman"/>
      <w:lvlText w:val="%3."/>
      <w:lvlJc w:val="right"/>
      <w:pPr>
        <w:ind w:left="2880" w:hanging="180"/>
      </w:pPr>
    </w:lvl>
    <w:lvl w:ilvl="3" w:tplc="63FE8D52" w:tentative="1">
      <w:start w:val="1"/>
      <w:numFmt w:val="decimal"/>
      <w:lvlText w:val="%4."/>
      <w:lvlJc w:val="left"/>
      <w:pPr>
        <w:ind w:left="3600" w:hanging="360"/>
      </w:pPr>
    </w:lvl>
    <w:lvl w:ilvl="4" w:tplc="1B7A933A" w:tentative="1">
      <w:start w:val="1"/>
      <w:numFmt w:val="lowerLetter"/>
      <w:lvlText w:val="%5."/>
      <w:lvlJc w:val="left"/>
      <w:pPr>
        <w:ind w:left="4320" w:hanging="360"/>
      </w:pPr>
    </w:lvl>
    <w:lvl w:ilvl="5" w:tplc="BDFC2566" w:tentative="1">
      <w:start w:val="1"/>
      <w:numFmt w:val="lowerRoman"/>
      <w:lvlText w:val="%6."/>
      <w:lvlJc w:val="right"/>
      <w:pPr>
        <w:ind w:left="5040" w:hanging="180"/>
      </w:pPr>
    </w:lvl>
    <w:lvl w:ilvl="6" w:tplc="27E6EA02" w:tentative="1">
      <w:start w:val="1"/>
      <w:numFmt w:val="decimal"/>
      <w:lvlText w:val="%7."/>
      <w:lvlJc w:val="left"/>
      <w:pPr>
        <w:ind w:left="5760" w:hanging="360"/>
      </w:pPr>
    </w:lvl>
    <w:lvl w:ilvl="7" w:tplc="F7948FB4" w:tentative="1">
      <w:start w:val="1"/>
      <w:numFmt w:val="lowerLetter"/>
      <w:lvlText w:val="%8."/>
      <w:lvlJc w:val="left"/>
      <w:pPr>
        <w:ind w:left="6480" w:hanging="360"/>
      </w:pPr>
    </w:lvl>
    <w:lvl w:ilvl="8" w:tplc="54CA2092"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3C1C58D6">
      <w:start w:val="1"/>
      <w:numFmt w:val="bullet"/>
      <w:pStyle w:val="ClauseBullet1"/>
      <w:lvlText w:val=""/>
      <w:lvlJc w:val="left"/>
      <w:pPr>
        <w:ind w:left="1080" w:hanging="360"/>
      </w:pPr>
      <w:rPr>
        <w:rFonts w:ascii="Symbol" w:hAnsi="Symbol" w:hint="default"/>
        <w:color w:val="000000"/>
      </w:rPr>
    </w:lvl>
    <w:lvl w:ilvl="1" w:tplc="628E6826" w:tentative="1">
      <w:start w:val="1"/>
      <w:numFmt w:val="bullet"/>
      <w:lvlText w:val="o"/>
      <w:lvlJc w:val="left"/>
      <w:pPr>
        <w:ind w:left="1800" w:hanging="360"/>
      </w:pPr>
      <w:rPr>
        <w:rFonts w:ascii="Courier New" w:hAnsi="Courier New" w:cs="Courier New" w:hint="default"/>
      </w:rPr>
    </w:lvl>
    <w:lvl w:ilvl="2" w:tplc="0C66E53C" w:tentative="1">
      <w:start w:val="1"/>
      <w:numFmt w:val="bullet"/>
      <w:lvlText w:val=""/>
      <w:lvlJc w:val="left"/>
      <w:pPr>
        <w:ind w:left="2520" w:hanging="360"/>
      </w:pPr>
      <w:rPr>
        <w:rFonts w:ascii="Wingdings" w:hAnsi="Wingdings" w:hint="default"/>
      </w:rPr>
    </w:lvl>
    <w:lvl w:ilvl="3" w:tplc="B78E7300" w:tentative="1">
      <w:start w:val="1"/>
      <w:numFmt w:val="bullet"/>
      <w:lvlText w:val=""/>
      <w:lvlJc w:val="left"/>
      <w:pPr>
        <w:ind w:left="3240" w:hanging="360"/>
      </w:pPr>
      <w:rPr>
        <w:rFonts w:ascii="Symbol" w:hAnsi="Symbol" w:hint="default"/>
      </w:rPr>
    </w:lvl>
    <w:lvl w:ilvl="4" w:tplc="6338E85A" w:tentative="1">
      <w:start w:val="1"/>
      <w:numFmt w:val="bullet"/>
      <w:lvlText w:val="o"/>
      <w:lvlJc w:val="left"/>
      <w:pPr>
        <w:ind w:left="3960" w:hanging="360"/>
      </w:pPr>
      <w:rPr>
        <w:rFonts w:ascii="Courier New" w:hAnsi="Courier New" w:cs="Courier New" w:hint="default"/>
      </w:rPr>
    </w:lvl>
    <w:lvl w:ilvl="5" w:tplc="84BA6C7C" w:tentative="1">
      <w:start w:val="1"/>
      <w:numFmt w:val="bullet"/>
      <w:lvlText w:val=""/>
      <w:lvlJc w:val="left"/>
      <w:pPr>
        <w:ind w:left="4680" w:hanging="360"/>
      </w:pPr>
      <w:rPr>
        <w:rFonts w:ascii="Wingdings" w:hAnsi="Wingdings" w:hint="default"/>
      </w:rPr>
    </w:lvl>
    <w:lvl w:ilvl="6" w:tplc="6C3C926C" w:tentative="1">
      <w:start w:val="1"/>
      <w:numFmt w:val="bullet"/>
      <w:lvlText w:val=""/>
      <w:lvlJc w:val="left"/>
      <w:pPr>
        <w:ind w:left="5400" w:hanging="360"/>
      </w:pPr>
      <w:rPr>
        <w:rFonts w:ascii="Symbol" w:hAnsi="Symbol" w:hint="default"/>
      </w:rPr>
    </w:lvl>
    <w:lvl w:ilvl="7" w:tplc="D3A8780C" w:tentative="1">
      <w:start w:val="1"/>
      <w:numFmt w:val="bullet"/>
      <w:lvlText w:val="o"/>
      <w:lvlJc w:val="left"/>
      <w:pPr>
        <w:ind w:left="6120" w:hanging="360"/>
      </w:pPr>
      <w:rPr>
        <w:rFonts w:ascii="Courier New" w:hAnsi="Courier New" w:cs="Courier New" w:hint="default"/>
      </w:rPr>
    </w:lvl>
    <w:lvl w:ilvl="8" w:tplc="C188375E"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72EC53FE">
      <w:start w:val="1"/>
      <w:numFmt w:val="bullet"/>
      <w:pStyle w:val="subclause3Bullet2"/>
      <w:lvlText w:val=""/>
      <w:lvlJc w:val="left"/>
      <w:pPr>
        <w:ind w:left="3748" w:hanging="360"/>
      </w:pPr>
      <w:rPr>
        <w:rFonts w:ascii="Symbol" w:hAnsi="Symbol" w:hint="default"/>
        <w:color w:val="000000"/>
      </w:rPr>
    </w:lvl>
    <w:lvl w:ilvl="1" w:tplc="902C9546" w:tentative="1">
      <w:start w:val="1"/>
      <w:numFmt w:val="bullet"/>
      <w:lvlText w:val="o"/>
      <w:lvlJc w:val="left"/>
      <w:pPr>
        <w:ind w:left="4468" w:hanging="360"/>
      </w:pPr>
      <w:rPr>
        <w:rFonts w:ascii="Courier New" w:hAnsi="Courier New" w:cs="Courier New" w:hint="default"/>
      </w:rPr>
    </w:lvl>
    <w:lvl w:ilvl="2" w:tplc="1F36D5A0" w:tentative="1">
      <w:start w:val="1"/>
      <w:numFmt w:val="bullet"/>
      <w:lvlText w:val=""/>
      <w:lvlJc w:val="left"/>
      <w:pPr>
        <w:ind w:left="5188" w:hanging="360"/>
      </w:pPr>
      <w:rPr>
        <w:rFonts w:ascii="Wingdings" w:hAnsi="Wingdings" w:hint="default"/>
      </w:rPr>
    </w:lvl>
    <w:lvl w:ilvl="3" w:tplc="0FB054F0" w:tentative="1">
      <w:start w:val="1"/>
      <w:numFmt w:val="bullet"/>
      <w:lvlText w:val=""/>
      <w:lvlJc w:val="left"/>
      <w:pPr>
        <w:ind w:left="5908" w:hanging="360"/>
      </w:pPr>
      <w:rPr>
        <w:rFonts w:ascii="Symbol" w:hAnsi="Symbol" w:hint="default"/>
      </w:rPr>
    </w:lvl>
    <w:lvl w:ilvl="4" w:tplc="CBBEB8C8" w:tentative="1">
      <w:start w:val="1"/>
      <w:numFmt w:val="bullet"/>
      <w:lvlText w:val="o"/>
      <w:lvlJc w:val="left"/>
      <w:pPr>
        <w:ind w:left="6628" w:hanging="360"/>
      </w:pPr>
      <w:rPr>
        <w:rFonts w:ascii="Courier New" w:hAnsi="Courier New" w:cs="Courier New" w:hint="default"/>
      </w:rPr>
    </w:lvl>
    <w:lvl w:ilvl="5" w:tplc="6D6C2040" w:tentative="1">
      <w:start w:val="1"/>
      <w:numFmt w:val="bullet"/>
      <w:lvlText w:val=""/>
      <w:lvlJc w:val="left"/>
      <w:pPr>
        <w:ind w:left="7348" w:hanging="360"/>
      </w:pPr>
      <w:rPr>
        <w:rFonts w:ascii="Wingdings" w:hAnsi="Wingdings" w:hint="default"/>
      </w:rPr>
    </w:lvl>
    <w:lvl w:ilvl="6" w:tplc="B3F6658E" w:tentative="1">
      <w:start w:val="1"/>
      <w:numFmt w:val="bullet"/>
      <w:lvlText w:val=""/>
      <w:lvlJc w:val="left"/>
      <w:pPr>
        <w:ind w:left="8068" w:hanging="360"/>
      </w:pPr>
      <w:rPr>
        <w:rFonts w:ascii="Symbol" w:hAnsi="Symbol" w:hint="default"/>
      </w:rPr>
    </w:lvl>
    <w:lvl w:ilvl="7" w:tplc="55480410" w:tentative="1">
      <w:start w:val="1"/>
      <w:numFmt w:val="bullet"/>
      <w:lvlText w:val="o"/>
      <w:lvlJc w:val="left"/>
      <w:pPr>
        <w:ind w:left="8788" w:hanging="360"/>
      </w:pPr>
      <w:rPr>
        <w:rFonts w:ascii="Courier New" w:hAnsi="Courier New" w:cs="Courier New" w:hint="default"/>
      </w:rPr>
    </w:lvl>
    <w:lvl w:ilvl="8" w:tplc="26028EB6"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43B60140">
      <w:start w:val="1"/>
      <w:numFmt w:val="bullet"/>
      <w:pStyle w:val="BulletList1"/>
      <w:lvlText w:val="·"/>
      <w:lvlJc w:val="left"/>
      <w:pPr>
        <w:tabs>
          <w:tab w:val="num" w:pos="360"/>
        </w:tabs>
        <w:ind w:left="360" w:hanging="360"/>
      </w:pPr>
      <w:rPr>
        <w:rFonts w:ascii="Symbol" w:hAnsi="Symbol" w:hint="default"/>
        <w:color w:val="000000"/>
      </w:rPr>
    </w:lvl>
    <w:lvl w:ilvl="1" w:tplc="3676AB52" w:tentative="1">
      <w:start w:val="1"/>
      <w:numFmt w:val="bullet"/>
      <w:lvlText w:val="·"/>
      <w:lvlJc w:val="left"/>
      <w:pPr>
        <w:tabs>
          <w:tab w:val="num" w:pos="1440"/>
        </w:tabs>
        <w:ind w:left="1440" w:hanging="360"/>
      </w:pPr>
      <w:rPr>
        <w:rFonts w:ascii="Symbol" w:hAnsi="Symbol" w:hint="default"/>
      </w:rPr>
    </w:lvl>
    <w:lvl w:ilvl="2" w:tplc="DB4A2B40" w:tentative="1">
      <w:start w:val="1"/>
      <w:numFmt w:val="bullet"/>
      <w:lvlText w:val="·"/>
      <w:lvlJc w:val="left"/>
      <w:pPr>
        <w:tabs>
          <w:tab w:val="num" w:pos="2160"/>
        </w:tabs>
        <w:ind w:left="2160" w:hanging="360"/>
      </w:pPr>
      <w:rPr>
        <w:rFonts w:ascii="Symbol" w:hAnsi="Symbol" w:hint="default"/>
      </w:rPr>
    </w:lvl>
    <w:lvl w:ilvl="3" w:tplc="9A2AE718" w:tentative="1">
      <w:start w:val="1"/>
      <w:numFmt w:val="bullet"/>
      <w:lvlText w:val="·"/>
      <w:lvlJc w:val="left"/>
      <w:pPr>
        <w:tabs>
          <w:tab w:val="num" w:pos="2880"/>
        </w:tabs>
        <w:ind w:left="2880" w:hanging="360"/>
      </w:pPr>
      <w:rPr>
        <w:rFonts w:ascii="Symbol" w:hAnsi="Symbol" w:hint="default"/>
      </w:rPr>
    </w:lvl>
    <w:lvl w:ilvl="4" w:tplc="41D2612A" w:tentative="1">
      <w:start w:val="1"/>
      <w:numFmt w:val="bullet"/>
      <w:lvlText w:val="o"/>
      <w:lvlJc w:val="left"/>
      <w:pPr>
        <w:tabs>
          <w:tab w:val="num" w:pos="3600"/>
        </w:tabs>
        <w:ind w:left="3600" w:hanging="360"/>
      </w:pPr>
      <w:rPr>
        <w:rFonts w:ascii="Courier New" w:hAnsi="Courier New" w:hint="default"/>
      </w:rPr>
    </w:lvl>
    <w:lvl w:ilvl="5" w:tplc="F7A62F64" w:tentative="1">
      <w:start w:val="1"/>
      <w:numFmt w:val="bullet"/>
      <w:lvlText w:val="§"/>
      <w:lvlJc w:val="left"/>
      <w:pPr>
        <w:tabs>
          <w:tab w:val="num" w:pos="4320"/>
        </w:tabs>
        <w:ind w:left="4320" w:hanging="360"/>
      </w:pPr>
      <w:rPr>
        <w:rFonts w:ascii="Wingdings" w:hAnsi="Wingdings" w:hint="default"/>
      </w:rPr>
    </w:lvl>
    <w:lvl w:ilvl="6" w:tplc="774AC2E2" w:tentative="1">
      <w:start w:val="1"/>
      <w:numFmt w:val="bullet"/>
      <w:lvlText w:val="·"/>
      <w:lvlJc w:val="left"/>
      <w:pPr>
        <w:tabs>
          <w:tab w:val="num" w:pos="5040"/>
        </w:tabs>
        <w:ind w:left="5040" w:hanging="360"/>
      </w:pPr>
      <w:rPr>
        <w:rFonts w:ascii="Symbol" w:hAnsi="Symbol" w:hint="default"/>
      </w:rPr>
    </w:lvl>
    <w:lvl w:ilvl="7" w:tplc="002E5F7C" w:tentative="1">
      <w:start w:val="1"/>
      <w:numFmt w:val="bullet"/>
      <w:lvlText w:val="o"/>
      <w:lvlJc w:val="left"/>
      <w:pPr>
        <w:tabs>
          <w:tab w:val="num" w:pos="5760"/>
        </w:tabs>
        <w:ind w:left="5760" w:hanging="360"/>
      </w:pPr>
      <w:rPr>
        <w:rFonts w:ascii="Courier New" w:hAnsi="Courier New" w:hint="default"/>
      </w:rPr>
    </w:lvl>
    <w:lvl w:ilvl="8" w:tplc="8966767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1054D460">
      <w:start w:val="1"/>
      <w:numFmt w:val="decimal"/>
      <w:lvlText w:val="%1."/>
      <w:lvlJc w:val="left"/>
      <w:pPr>
        <w:ind w:left="1440" w:hanging="360"/>
      </w:pPr>
      <w:rPr>
        <w:color w:val="000000"/>
      </w:rPr>
    </w:lvl>
    <w:lvl w:ilvl="1" w:tplc="E0ACD272" w:tentative="1">
      <w:start w:val="1"/>
      <w:numFmt w:val="lowerLetter"/>
      <w:lvlText w:val="%2."/>
      <w:lvlJc w:val="left"/>
      <w:pPr>
        <w:ind w:left="2160" w:hanging="360"/>
      </w:pPr>
    </w:lvl>
    <w:lvl w:ilvl="2" w:tplc="F27E8A8A" w:tentative="1">
      <w:start w:val="1"/>
      <w:numFmt w:val="lowerRoman"/>
      <w:lvlText w:val="%3."/>
      <w:lvlJc w:val="right"/>
      <w:pPr>
        <w:ind w:left="2880" w:hanging="180"/>
      </w:pPr>
    </w:lvl>
    <w:lvl w:ilvl="3" w:tplc="50821FCE" w:tentative="1">
      <w:start w:val="1"/>
      <w:numFmt w:val="decimal"/>
      <w:lvlText w:val="%4."/>
      <w:lvlJc w:val="left"/>
      <w:pPr>
        <w:ind w:left="3600" w:hanging="360"/>
      </w:pPr>
    </w:lvl>
    <w:lvl w:ilvl="4" w:tplc="7A7683AA" w:tentative="1">
      <w:start w:val="1"/>
      <w:numFmt w:val="lowerLetter"/>
      <w:lvlText w:val="%5."/>
      <w:lvlJc w:val="left"/>
      <w:pPr>
        <w:ind w:left="4320" w:hanging="360"/>
      </w:pPr>
    </w:lvl>
    <w:lvl w:ilvl="5" w:tplc="B72EFE88" w:tentative="1">
      <w:start w:val="1"/>
      <w:numFmt w:val="lowerRoman"/>
      <w:lvlText w:val="%6."/>
      <w:lvlJc w:val="right"/>
      <w:pPr>
        <w:ind w:left="5040" w:hanging="180"/>
      </w:pPr>
    </w:lvl>
    <w:lvl w:ilvl="6" w:tplc="339E956C" w:tentative="1">
      <w:start w:val="1"/>
      <w:numFmt w:val="decimal"/>
      <w:lvlText w:val="%7."/>
      <w:lvlJc w:val="left"/>
      <w:pPr>
        <w:ind w:left="5760" w:hanging="360"/>
      </w:pPr>
    </w:lvl>
    <w:lvl w:ilvl="7" w:tplc="D14CD7E4" w:tentative="1">
      <w:start w:val="1"/>
      <w:numFmt w:val="lowerLetter"/>
      <w:lvlText w:val="%8."/>
      <w:lvlJc w:val="left"/>
      <w:pPr>
        <w:ind w:left="6480" w:hanging="360"/>
      </w:pPr>
    </w:lvl>
    <w:lvl w:ilvl="8" w:tplc="DACA0698"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A04E43F6">
      <w:start w:val="1"/>
      <w:numFmt w:val="bullet"/>
      <w:pStyle w:val="BulletList3"/>
      <w:lvlText w:val=""/>
      <w:lvlJc w:val="left"/>
      <w:pPr>
        <w:tabs>
          <w:tab w:val="num" w:pos="1945"/>
        </w:tabs>
        <w:ind w:left="1945" w:hanging="357"/>
      </w:pPr>
      <w:rPr>
        <w:rFonts w:ascii="Symbol" w:hAnsi="Symbol" w:hint="default"/>
        <w:color w:val="000000"/>
      </w:rPr>
    </w:lvl>
    <w:lvl w:ilvl="1" w:tplc="90D6FA8A" w:tentative="1">
      <w:start w:val="1"/>
      <w:numFmt w:val="bullet"/>
      <w:lvlText w:val="o"/>
      <w:lvlJc w:val="left"/>
      <w:pPr>
        <w:tabs>
          <w:tab w:val="num" w:pos="1440"/>
        </w:tabs>
        <w:ind w:left="1440" w:hanging="360"/>
      </w:pPr>
      <w:rPr>
        <w:rFonts w:ascii="Courier New" w:hAnsi="Courier New" w:cs="Courier New" w:hint="default"/>
      </w:rPr>
    </w:lvl>
    <w:lvl w:ilvl="2" w:tplc="21FE51F2" w:tentative="1">
      <w:start w:val="1"/>
      <w:numFmt w:val="bullet"/>
      <w:lvlText w:val=""/>
      <w:lvlJc w:val="left"/>
      <w:pPr>
        <w:tabs>
          <w:tab w:val="num" w:pos="2160"/>
        </w:tabs>
        <w:ind w:left="2160" w:hanging="360"/>
      </w:pPr>
      <w:rPr>
        <w:rFonts w:ascii="Wingdings" w:hAnsi="Wingdings" w:hint="default"/>
      </w:rPr>
    </w:lvl>
    <w:lvl w:ilvl="3" w:tplc="211C7E2E" w:tentative="1">
      <w:start w:val="1"/>
      <w:numFmt w:val="bullet"/>
      <w:lvlText w:val=""/>
      <w:lvlJc w:val="left"/>
      <w:pPr>
        <w:tabs>
          <w:tab w:val="num" w:pos="2880"/>
        </w:tabs>
        <w:ind w:left="2880" w:hanging="360"/>
      </w:pPr>
      <w:rPr>
        <w:rFonts w:ascii="Symbol" w:hAnsi="Symbol" w:hint="default"/>
      </w:rPr>
    </w:lvl>
    <w:lvl w:ilvl="4" w:tplc="3B0E0024" w:tentative="1">
      <w:start w:val="1"/>
      <w:numFmt w:val="bullet"/>
      <w:lvlText w:val="o"/>
      <w:lvlJc w:val="left"/>
      <w:pPr>
        <w:tabs>
          <w:tab w:val="num" w:pos="3600"/>
        </w:tabs>
        <w:ind w:left="3600" w:hanging="360"/>
      </w:pPr>
      <w:rPr>
        <w:rFonts w:ascii="Courier New" w:hAnsi="Courier New" w:cs="Courier New" w:hint="default"/>
      </w:rPr>
    </w:lvl>
    <w:lvl w:ilvl="5" w:tplc="C4021DC6" w:tentative="1">
      <w:start w:val="1"/>
      <w:numFmt w:val="bullet"/>
      <w:lvlText w:val=""/>
      <w:lvlJc w:val="left"/>
      <w:pPr>
        <w:tabs>
          <w:tab w:val="num" w:pos="4320"/>
        </w:tabs>
        <w:ind w:left="4320" w:hanging="360"/>
      </w:pPr>
      <w:rPr>
        <w:rFonts w:ascii="Wingdings" w:hAnsi="Wingdings" w:hint="default"/>
      </w:rPr>
    </w:lvl>
    <w:lvl w:ilvl="6" w:tplc="8774E368" w:tentative="1">
      <w:start w:val="1"/>
      <w:numFmt w:val="bullet"/>
      <w:lvlText w:val=""/>
      <w:lvlJc w:val="left"/>
      <w:pPr>
        <w:tabs>
          <w:tab w:val="num" w:pos="5040"/>
        </w:tabs>
        <w:ind w:left="5040" w:hanging="360"/>
      </w:pPr>
      <w:rPr>
        <w:rFonts w:ascii="Symbol" w:hAnsi="Symbol" w:hint="default"/>
      </w:rPr>
    </w:lvl>
    <w:lvl w:ilvl="7" w:tplc="99109688" w:tentative="1">
      <w:start w:val="1"/>
      <w:numFmt w:val="bullet"/>
      <w:lvlText w:val="o"/>
      <w:lvlJc w:val="left"/>
      <w:pPr>
        <w:tabs>
          <w:tab w:val="num" w:pos="5760"/>
        </w:tabs>
        <w:ind w:left="5760" w:hanging="360"/>
      </w:pPr>
      <w:rPr>
        <w:rFonts w:ascii="Courier New" w:hAnsi="Courier New" w:cs="Courier New" w:hint="default"/>
      </w:rPr>
    </w:lvl>
    <w:lvl w:ilvl="8" w:tplc="4EDA9B28" w:tentative="1">
      <w:start w:val="1"/>
      <w:numFmt w:val="bullet"/>
      <w:lvlText w:val=""/>
      <w:lvlJc w:val="left"/>
      <w:pPr>
        <w:tabs>
          <w:tab w:val="num" w:pos="6480"/>
        </w:tabs>
        <w:ind w:left="6480" w:hanging="360"/>
      </w:pPr>
      <w:rPr>
        <w:rFonts w:ascii="Wingdings" w:hAnsi="Wingdings" w:hint="default"/>
      </w:rPr>
    </w:lvl>
  </w:abstractNum>
  <w:num w:numId="1" w16cid:durableId="1283998118">
    <w:abstractNumId w:val="36"/>
  </w:num>
  <w:num w:numId="2" w16cid:durableId="1512235">
    <w:abstractNumId w:val="37"/>
  </w:num>
  <w:num w:numId="3" w16cid:durableId="679434813">
    <w:abstractNumId w:val="22"/>
  </w:num>
  <w:num w:numId="4" w16cid:durableId="428426374">
    <w:abstractNumId w:val="42"/>
  </w:num>
  <w:num w:numId="5" w16cid:durableId="876506682">
    <w:abstractNumId w:val="39"/>
  </w:num>
  <w:num w:numId="6" w16cid:durableId="954798522">
    <w:abstractNumId w:val="16"/>
  </w:num>
  <w:num w:numId="7" w16cid:durableId="1604071452">
    <w:abstractNumId w:val="24"/>
  </w:num>
  <w:num w:numId="8" w16cid:durableId="1963657354">
    <w:abstractNumId w:val="23"/>
  </w:num>
  <w:num w:numId="9" w16cid:durableId="117113160">
    <w:abstractNumId w:val="20"/>
  </w:num>
  <w:num w:numId="10" w16cid:durableId="635723739">
    <w:abstractNumId w:val="32"/>
  </w:num>
  <w:num w:numId="11" w16cid:durableId="1896155659">
    <w:abstractNumId w:val="19"/>
  </w:num>
  <w:num w:numId="12" w16cid:durableId="757602557">
    <w:abstractNumId w:val="31"/>
  </w:num>
  <w:num w:numId="13" w16cid:durableId="87585500">
    <w:abstractNumId w:val="34"/>
  </w:num>
  <w:num w:numId="14" w16cid:durableId="121654321">
    <w:abstractNumId w:val="25"/>
  </w:num>
  <w:num w:numId="15" w16cid:durableId="2073655899">
    <w:abstractNumId w:val="30"/>
  </w:num>
  <w:num w:numId="16" w16cid:durableId="1488857441">
    <w:abstractNumId w:val="28"/>
  </w:num>
  <w:num w:numId="17" w16cid:durableId="1309631018">
    <w:abstractNumId w:val="29"/>
  </w:num>
  <w:num w:numId="18" w16cid:durableId="611788917">
    <w:abstractNumId w:val="27"/>
  </w:num>
  <w:num w:numId="19" w16cid:durableId="1301228570">
    <w:abstractNumId w:val="21"/>
  </w:num>
  <w:num w:numId="20" w16cid:durableId="2107966348">
    <w:abstractNumId w:val="35"/>
  </w:num>
  <w:num w:numId="21" w16cid:durableId="967054058">
    <w:abstractNumId w:val="11"/>
  </w:num>
  <w:num w:numId="22" w16cid:durableId="139538109">
    <w:abstractNumId w:val="14"/>
  </w:num>
  <w:num w:numId="23" w16cid:durableId="727530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1763469">
    <w:abstractNumId w:val="38"/>
  </w:num>
  <w:num w:numId="25" w16cid:durableId="1787769918">
    <w:abstractNumId w:val="40"/>
  </w:num>
  <w:num w:numId="26" w16cid:durableId="128786668">
    <w:abstractNumId w:val="15"/>
  </w:num>
  <w:num w:numId="27" w16cid:durableId="1151602633">
    <w:abstractNumId w:val="18"/>
  </w:num>
  <w:num w:numId="28" w16cid:durableId="1338119370">
    <w:abstractNumId w:val="33"/>
  </w:num>
  <w:num w:numId="29" w16cid:durableId="1341811025">
    <w:abstractNumId w:val="9"/>
  </w:num>
  <w:num w:numId="30" w16cid:durableId="484860279">
    <w:abstractNumId w:val="7"/>
  </w:num>
  <w:num w:numId="31" w16cid:durableId="1024286278">
    <w:abstractNumId w:val="6"/>
  </w:num>
  <w:num w:numId="32" w16cid:durableId="188491910">
    <w:abstractNumId w:val="5"/>
  </w:num>
  <w:num w:numId="33" w16cid:durableId="2011372565">
    <w:abstractNumId w:val="4"/>
  </w:num>
  <w:num w:numId="34" w16cid:durableId="744497942">
    <w:abstractNumId w:val="8"/>
  </w:num>
  <w:num w:numId="35" w16cid:durableId="1131249441">
    <w:abstractNumId w:val="3"/>
  </w:num>
  <w:num w:numId="36" w16cid:durableId="790517175">
    <w:abstractNumId w:val="2"/>
  </w:num>
  <w:num w:numId="37" w16cid:durableId="996609017">
    <w:abstractNumId w:val="1"/>
  </w:num>
  <w:num w:numId="38" w16cid:durableId="1517117047">
    <w:abstractNumId w:val="0"/>
  </w:num>
  <w:num w:numId="39" w16cid:durableId="14186688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9900999">
    <w:abstractNumId w:val="13"/>
  </w:num>
  <w:num w:numId="41" w16cid:durableId="539126773">
    <w:abstractNumId w:val="10"/>
  </w:num>
  <w:num w:numId="42" w16cid:durableId="2027126204">
    <w:abstractNumId w:val="41"/>
  </w:num>
  <w:num w:numId="43" w16cid:durableId="1571501787">
    <w:abstractNumId w:val="12"/>
  </w:num>
  <w:num w:numId="44" w16cid:durableId="209729112">
    <w:abstractNumId w:val="17"/>
  </w:num>
  <w:num w:numId="45" w16cid:durableId="8964302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508FC868-7B26-40DA-A6F3-56A234176530}"/>
  </w:docVars>
  <w:rsids>
    <w:rsidRoot w:val="00612CDF"/>
    <w:rsid w:val="00060E33"/>
    <w:rsid w:val="0055468B"/>
    <w:rsid w:val="00585F77"/>
    <w:rsid w:val="00612CDF"/>
    <w:rsid w:val="00682CDC"/>
    <w:rsid w:val="006A2BD5"/>
    <w:rsid w:val="009535B9"/>
    <w:rsid w:val="00EF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A5C8"/>
  <w15:docId w15:val="{AD757D17-20B1-448C-8209-581C30B0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07E"/>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52307E"/>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2307E"/>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2307E"/>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2307E"/>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2307E"/>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52307E"/>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52307E"/>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307E"/>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307E"/>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7E"/>
    <w:rPr>
      <w:rFonts w:ascii="Tahoma" w:hAnsi="Tahoma" w:cs="Tahoma"/>
      <w:color w:val="000000"/>
      <w:sz w:val="16"/>
      <w:szCs w:val="16"/>
    </w:rPr>
  </w:style>
  <w:style w:type="paragraph" w:styleId="Header">
    <w:name w:val="header"/>
    <w:basedOn w:val="Normal"/>
    <w:link w:val="HeaderChar"/>
    <w:uiPriority w:val="99"/>
    <w:unhideWhenUsed/>
    <w:rsid w:val="00523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7E"/>
    <w:rPr>
      <w:color w:val="000000"/>
    </w:rPr>
  </w:style>
  <w:style w:type="paragraph" w:styleId="Footer">
    <w:name w:val="footer"/>
    <w:basedOn w:val="Normal"/>
    <w:link w:val="FooterChar"/>
    <w:rsid w:val="0052307E"/>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52307E"/>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52307E"/>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52307E"/>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52307E"/>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52307E"/>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52307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52307E"/>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52307E"/>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52307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52307E"/>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52307E"/>
    <w:rPr>
      <w:color w:val="000000"/>
    </w:rPr>
  </w:style>
  <w:style w:type="paragraph" w:customStyle="1" w:styleId="DescriptiveHeading">
    <w:name w:val="DescriptiveHeading"/>
    <w:next w:val="Paragraph"/>
    <w:link w:val="DescriptiveHeadingChar"/>
    <w:rsid w:val="0052307E"/>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52307E"/>
    <w:rPr>
      <w:rFonts w:ascii="Arial" w:eastAsia="Arial Unicode MS" w:hAnsi="Arial" w:cs="Arial"/>
      <w:b/>
      <w:color w:val="000000"/>
      <w:lang w:val="en-US" w:eastAsia="en-US"/>
    </w:rPr>
  </w:style>
  <w:style w:type="paragraph" w:customStyle="1" w:styleId="Paragraph">
    <w:name w:val="Paragraph"/>
    <w:basedOn w:val="Normal"/>
    <w:link w:val="ParagraphChar"/>
    <w:qFormat/>
    <w:rsid w:val="0052307E"/>
    <w:pPr>
      <w:spacing w:after="120" w:line="300" w:lineRule="atLeast"/>
      <w:jc w:val="both"/>
    </w:pPr>
    <w:rPr>
      <w:rFonts w:eastAsia="Arial Unicode MS"/>
      <w:szCs w:val="20"/>
      <w:lang w:eastAsia="en-US"/>
    </w:rPr>
  </w:style>
  <w:style w:type="table" w:styleId="TableGrid">
    <w:name w:val="Table Grid"/>
    <w:basedOn w:val="TableNormal"/>
    <w:rsid w:val="0052307E"/>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52307E"/>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52307E"/>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52307E"/>
    <w:rPr>
      <w:rFonts w:ascii="Arial" w:eastAsia="Arial Unicode MS" w:hAnsi="Arial" w:cs="Arial"/>
      <w:color w:val="000000"/>
      <w:sz w:val="24"/>
      <w:szCs w:val="24"/>
      <w:lang w:val="en-US" w:eastAsia="en-US"/>
    </w:rPr>
  </w:style>
  <w:style w:type="paragraph" w:customStyle="1" w:styleId="TitleClause">
    <w:name w:val="Title Clause"/>
    <w:basedOn w:val="Normal"/>
    <w:rsid w:val="0052307E"/>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52307E"/>
    <w:rPr>
      <w:rFonts w:ascii="Arial" w:eastAsia="Arial Unicode MS" w:hAnsi="Arial" w:cs="Arial"/>
      <w:color w:val="000000"/>
      <w:szCs w:val="20"/>
      <w:lang w:eastAsia="en-US"/>
    </w:rPr>
  </w:style>
  <w:style w:type="paragraph" w:customStyle="1" w:styleId="Untitledsubclause1">
    <w:name w:val="Untitled subclause 1"/>
    <w:basedOn w:val="Normal"/>
    <w:rsid w:val="0052307E"/>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52307E"/>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52307E"/>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52307E"/>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52307E"/>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52307E"/>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52307E"/>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52307E"/>
    <w:rPr>
      <w:rFonts w:ascii="Arial" w:eastAsia="Arial Unicode MS" w:hAnsi="Arial" w:cs="Arial"/>
      <w:color w:val="000000"/>
      <w:sz w:val="24"/>
      <w:lang w:val="en-US" w:eastAsia="en-US"/>
    </w:rPr>
  </w:style>
  <w:style w:type="paragraph" w:styleId="Title">
    <w:name w:val="Title"/>
    <w:link w:val="TitleChar"/>
    <w:rsid w:val="0052307E"/>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52307E"/>
    <w:rPr>
      <w:rFonts w:ascii="Arial" w:eastAsia="Arial Unicode MS" w:hAnsi="Arial" w:cs="Arial"/>
      <w:color w:val="000000"/>
      <w:sz w:val="24"/>
      <w:lang w:val="en-US" w:eastAsia="en-US"/>
    </w:rPr>
  </w:style>
  <w:style w:type="paragraph" w:customStyle="1" w:styleId="InternalTOC">
    <w:name w:val="Internal TOC"/>
    <w:rsid w:val="0052307E"/>
    <w:pPr>
      <w:spacing w:after="120" w:line="240" w:lineRule="auto"/>
    </w:pPr>
    <w:rPr>
      <w:rFonts w:ascii="Arial" w:eastAsia="Arial Unicode MS" w:hAnsi="Arial" w:cs="Arial"/>
      <w:color w:val="000000"/>
      <w:lang w:val="en-US" w:eastAsia="en-US"/>
    </w:rPr>
  </w:style>
  <w:style w:type="paragraph" w:customStyle="1" w:styleId="Annex">
    <w:name w:val="Annex"/>
    <w:basedOn w:val="Paragraph"/>
    <w:next w:val="Paragraph"/>
    <w:qFormat/>
    <w:rsid w:val="0052307E"/>
    <w:pPr>
      <w:numPr>
        <w:numId w:val="11"/>
      </w:numPr>
      <w:spacing w:before="240" w:after="240"/>
      <w:ind w:left="0" w:firstLine="0"/>
    </w:pPr>
    <w:rPr>
      <w:b/>
    </w:rPr>
  </w:style>
  <w:style w:type="paragraph" w:customStyle="1" w:styleId="Background">
    <w:name w:val="Background"/>
    <w:aliases w:val="(A) Background"/>
    <w:basedOn w:val="Normal"/>
    <w:rsid w:val="0052307E"/>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52307E"/>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52307E"/>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52307E"/>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52307E"/>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52307E"/>
    <w:rPr>
      <w:b w:val="0"/>
      <w:smallCaps/>
    </w:rPr>
  </w:style>
  <w:style w:type="paragraph" w:customStyle="1" w:styleId="ClosingPara">
    <w:name w:val="Closing Para"/>
    <w:basedOn w:val="Normal"/>
    <w:rsid w:val="0052307E"/>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52307E"/>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52307E"/>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52307E"/>
  </w:style>
  <w:style w:type="paragraph" w:customStyle="1" w:styleId="CoverSheetSubjectText">
    <w:name w:val="Cover Sheet Subject Text"/>
    <w:basedOn w:val="Normal"/>
    <w:rsid w:val="0052307E"/>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52307E"/>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52307E"/>
    <w:pPr>
      <w:numPr>
        <w:numId w:val="24"/>
      </w:numPr>
    </w:pPr>
  </w:style>
  <w:style w:type="paragraph" w:customStyle="1" w:styleId="DraftingnoteSection1Para">
    <w:name w:val="Draftingnote Section1 Para"/>
    <w:basedOn w:val="Normal"/>
    <w:rsid w:val="0052307E"/>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52307E"/>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52307E"/>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52307E"/>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52307E"/>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52307E"/>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52307E"/>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52307E"/>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52307E"/>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52307E"/>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52307E"/>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52307E"/>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52307E"/>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52307E"/>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52307E"/>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52307E"/>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52307E"/>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52307E"/>
    <w:pPr>
      <w:spacing w:after="120" w:line="300" w:lineRule="atLeast"/>
      <w:jc w:val="both"/>
    </w:pPr>
    <w:rPr>
      <w:rFonts w:eastAsia="Arial Unicode MS"/>
      <w:szCs w:val="20"/>
      <w:lang w:eastAsia="en-US"/>
    </w:rPr>
  </w:style>
  <w:style w:type="paragraph" w:customStyle="1" w:styleId="GlossItemGlossterm">
    <w:name w:val="GlossItem Glossterm"/>
    <w:basedOn w:val="Normal"/>
    <w:rsid w:val="0052307E"/>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52307E"/>
    <w:pPr>
      <w:spacing w:after="120" w:line="300" w:lineRule="atLeast"/>
      <w:jc w:val="both"/>
    </w:pPr>
    <w:rPr>
      <w:rFonts w:eastAsia="Arial Unicode MS"/>
      <w:szCs w:val="20"/>
      <w:lang w:eastAsia="en-US"/>
    </w:rPr>
  </w:style>
  <w:style w:type="paragraph" w:customStyle="1" w:styleId="HeadingDate">
    <w:name w:val="Heading Date"/>
    <w:basedOn w:val="Normal"/>
    <w:rsid w:val="0052307E"/>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52307E"/>
    <w:pPr>
      <w:spacing w:after="120" w:line="300" w:lineRule="atLeast"/>
      <w:jc w:val="both"/>
    </w:pPr>
    <w:rPr>
      <w:rFonts w:eastAsia="Arial Unicode MS"/>
      <w:szCs w:val="20"/>
      <w:lang w:eastAsia="en-US"/>
    </w:rPr>
  </w:style>
  <w:style w:type="paragraph" w:customStyle="1" w:styleId="HeadingSalutation">
    <w:name w:val="Heading Salutation"/>
    <w:basedOn w:val="Normal"/>
    <w:rsid w:val="0052307E"/>
    <w:pPr>
      <w:spacing w:after="120" w:line="300" w:lineRule="atLeast"/>
      <w:jc w:val="both"/>
    </w:pPr>
    <w:rPr>
      <w:rFonts w:eastAsia="Arial Unicode MS"/>
      <w:szCs w:val="20"/>
      <w:lang w:eastAsia="en-US"/>
    </w:rPr>
  </w:style>
  <w:style w:type="paragraph" w:customStyle="1" w:styleId="InternalAuthor">
    <w:name w:val="Internal Author"/>
    <w:link w:val="InternalAuthorChar"/>
    <w:rsid w:val="0052307E"/>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52307E"/>
    <w:rPr>
      <w:rFonts w:ascii="Arial" w:eastAsia="Arial Unicode MS" w:hAnsi="Arial" w:cs="Arial"/>
      <w:color w:val="000000"/>
      <w:sz w:val="24"/>
      <w:lang w:val="en-US" w:eastAsia="en-US"/>
    </w:rPr>
  </w:style>
  <w:style w:type="paragraph" w:customStyle="1" w:styleId="MaintenanceEditor">
    <w:name w:val="Maintenance Editor"/>
    <w:link w:val="MaintenanceEditorChar"/>
    <w:rsid w:val="0052307E"/>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52307E"/>
    <w:rPr>
      <w:rFonts w:ascii="Arial" w:eastAsia="Arial Unicode MS" w:hAnsi="Arial" w:cs="Arial"/>
      <w:color w:val="000000"/>
      <w:sz w:val="24"/>
      <w:lang w:val="en-US" w:eastAsia="en-US"/>
    </w:rPr>
  </w:style>
  <w:style w:type="paragraph" w:customStyle="1" w:styleId="ParaClause">
    <w:name w:val="Para Clause"/>
    <w:basedOn w:val="Normal"/>
    <w:rsid w:val="0052307E"/>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52307E"/>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52307E"/>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52307E"/>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52307E"/>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52307E"/>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52307E"/>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52307E"/>
    <w:pPr>
      <w:spacing w:after="240"/>
      <w:ind w:left="3028"/>
    </w:pPr>
  </w:style>
  <w:style w:type="paragraph" w:customStyle="1" w:styleId="ScheduleUntitledsubclause4">
    <w:name w:val="Schedule Untitled subclause 4"/>
    <w:basedOn w:val="Normal"/>
    <w:rsid w:val="0052307E"/>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52307E"/>
    <w:pPr>
      <w:spacing w:after="120" w:line="300" w:lineRule="atLeast"/>
      <w:jc w:val="both"/>
    </w:pPr>
    <w:rPr>
      <w:rFonts w:eastAsia="Arial Unicode MS"/>
      <w:szCs w:val="20"/>
      <w:lang w:eastAsia="en-US"/>
    </w:rPr>
  </w:style>
  <w:style w:type="paragraph" w:customStyle="1" w:styleId="Parties">
    <w:name w:val="Parties"/>
    <w:aliases w:val="(1) Parties"/>
    <w:basedOn w:val="Normal"/>
    <w:rsid w:val="0052307E"/>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52307E"/>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52307E"/>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52307E"/>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52307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52307E"/>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52307E"/>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52307E"/>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52307E"/>
    <w:rPr>
      <w:rFonts w:ascii="Arial" w:eastAsia="Arial Unicode MS" w:hAnsi="Arial" w:cs="Arial"/>
      <w:b/>
      <w:bCs/>
      <w:color w:val="000000"/>
      <w:sz w:val="24"/>
      <w:lang w:val="en-US" w:eastAsia="en-US"/>
    </w:rPr>
  </w:style>
  <w:style w:type="paragraph" w:customStyle="1" w:styleId="ResourceType">
    <w:name w:val="Resource Type"/>
    <w:link w:val="ResourceTypeChar"/>
    <w:rsid w:val="0052307E"/>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52307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52307E"/>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52307E"/>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52307E"/>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52307E"/>
    <w:pPr>
      <w:spacing w:after="120" w:line="300" w:lineRule="atLeast"/>
      <w:jc w:val="both"/>
    </w:pPr>
    <w:rPr>
      <w:rFonts w:eastAsia="Arial Unicode MS"/>
      <w:szCs w:val="20"/>
      <w:lang w:eastAsia="en-US"/>
    </w:rPr>
  </w:style>
  <w:style w:type="paragraph" w:customStyle="1" w:styleId="SpeedreadPara">
    <w:name w:val="Speedread Para"/>
    <w:basedOn w:val="Normal"/>
    <w:rsid w:val="0052307E"/>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52307E"/>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52307E"/>
    <w:pPr>
      <w:spacing w:after="120" w:line="300" w:lineRule="atLeast"/>
      <w:jc w:val="both"/>
    </w:pPr>
    <w:rPr>
      <w:rFonts w:eastAsia="Arial Unicode MS"/>
      <w:szCs w:val="20"/>
      <w:lang w:eastAsia="en-US"/>
    </w:rPr>
  </w:style>
  <w:style w:type="paragraph" w:customStyle="1" w:styleId="SpeedreadText">
    <w:name w:val="Speedread Text"/>
    <w:basedOn w:val="Normal"/>
    <w:rsid w:val="0052307E"/>
    <w:pPr>
      <w:spacing w:after="120" w:line="300" w:lineRule="atLeast"/>
      <w:jc w:val="both"/>
    </w:pPr>
    <w:rPr>
      <w:rFonts w:eastAsia="Arial Unicode MS"/>
      <w:szCs w:val="20"/>
      <w:lang w:eastAsia="en-US"/>
    </w:rPr>
  </w:style>
  <w:style w:type="paragraph" w:customStyle="1" w:styleId="SpeedreadTitle">
    <w:name w:val="Speedread Title"/>
    <w:basedOn w:val="Normal"/>
    <w:rsid w:val="0052307E"/>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52307E"/>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52307E"/>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52307E"/>
    <w:rPr>
      <w:i/>
      <w:color w:val="000000"/>
      <w:u w:val="single"/>
    </w:rPr>
  </w:style>
  <w:style w:type="paragraph" w:customStyle="1" w:styleId="Bullet4">
    <w:name w:val="Bullet4"/>
    <w:basedOn w:val="Normal"/>
    <w:rsid w:val="0052307E"/>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52307E"/>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52307E"/>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52307E"/>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52307E"/>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52307E"/>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52307E"/>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52307E"/>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52307E"/>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52307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52307E"/>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52307E"/>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52307E"/>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52307E"/>
    <w:rPr>
      <w:rFonts w:ascii="Arial" w:eastAsia="Arial Unicode MS" w:hAnsi="Arial" w:cs="Arial"/>
      <w:color w:val="000000"/>
      <w:szCs w:val="24"/>
      <w:lang w:val="en-US" w:eastAsia="en-US"/>
    </w:rPr>
  </w:style>
  <w:style w:type="paragraph" w:customStyle="1" w:styleId="IntroDefault">
    <w:name w:val="Intro Default"/>
    <w:basedOn w:val="Paragraph"/>
    <w:qFormat/>
    <w:rsid w:val="0052307E"/>
  </w:style>
  <w:style w:type="paragraph" w:customStyle="1" w:styleId="IntroCustom">
    <w:name w:val="Intro Custom"/>
    <w:basedOn w:val="Paragraph"/>
    <w:qFormat/>
    <w:rsid w:val="0052307E"/>
  </w:style>
  <w:style w:type="paragraph" w:customStyle="1" w:styleId="PrecedentType">
    <w:name w:val="Precedent Type"/>
    <w:basedOn w:val="IgnoredSpacing"/>
    <w:qFormat/>
    <w:rsid w:val="0052307E"/>
  </w:style>
  <w:style w:type="paragraph" w:customStyle="1" w:styleId="Operative">
    <w:name w:val="Operative"/>
    <w:basedOn w:val="IgnoredSpacing"/>
    <w:qFormat/>
    <w:rsid w:val="0052307E"/>
    <w:rPr>
      <w:vanish/>
    </w:rPr>
  </w:style>
  <w:style w:type="paragraph" w:customStyle="1" w:styleId="SpeedreadBulletList1">
    <w:name w:val="Speedread Bullet List 1"/>
    <w:basedOn w:val="BulletList1"/>
    <w:qFormat/>
    <w:rsid w:val="0052307E"/>
  </w:style>
  <w:style w:type="paragraph" w:customStyle="1" w:styleId="PartiesTitle">
    <w:name w:val="Parties Title"/>
    <w:basedOn w:val="Paragraph"/>
    <w:qFormat/>
    <w:rsid w:val="0052307E"/>
    <w:rPr>
      <w:b/>
    </w:rPr>
  </w:style>
  <w:style w:type="paragraph" w:customStyle="1" w:styleId="QuestionParagraph">
    <w:name w:val="Question Paragraph"/>
    <w:link w:val="QuestionParagraphChar"/>
    <w:qFormat/>
    <w:rsid w:val="0052307E"/>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52307E"/>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52307E"/>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52307E"/>
    <w:pPr>
      <w:shd w:val="clear" w:color="auto" w:fill="D9D9D9" w:themeFill="background1" w:themeFillShade="D9"/>
      <w:ind w:left="1077"/>
    </w:pPr>
  </w:style>
  <w:style w:type="paragraph" w:customStyle="1" w:styleId="TestimoniumContract">
    <w:name w:val="Testimonium Contract"/>
    <w:basedOn w:val="Paragraph"/>
    <w:qFormat/>
    <w:rsid w:val="0052307E"/>
  </w:style>
  <w:style w:type="paragraph" w:customStyle="1" w:styleId="TestimoniumDeed">
    <w:name w:val="Testimonium Deed"/>
    <w:basedOn w:val="Paragraph"/>
    <w:qFormat/>
    <w:rsid w:val="0052307E"/>
  </w:style>
  <w:style w:type="paragraph" w:customStyle="1" w:styleId="Titlesubclause2">
    <w:name w:val="Title subclause2"/>
    <w:basedOn w:val="Untitledsubclause2"/>
    <w:qFormat/>
    <w:rsid w:val="0052307E"/>
    <w:rPr>
      <w:b/>
    </w:rPr>
  </w:style>
  <w:style w:type="paragraph" w:customStyle="1" w:styleId="Titlesubclause3">
    <w:name w:val="Title subclause3"/>
    <w:basedOn w:val="Untitledsubclause3"/>
    <w:qFormat/>
    <w:rsid w:val="0052307E"/>
    <w:rPr>
      <w:b/>
    </w:rPr>
  </w:style>
  <w:style w:type="paragraph" w:customStyle="1" w:styleId="Titlesubclause4">
    <w:name w:val="Title subclause4"/>
    <w:basedOn w:val="Untitledsubclause4"/>
    <w:qFormat/>
    <w:rsid w:val="0052307E"/>
    <w:rPr>
      <w:b/>
    </w:rPr>
  </w:style>
  <w:style w:type="paragraph" w:customStyle="1" w:styleId="UntitledClause">
    <w:name w:val="Untitled Clause"/>
    <w:basedOn w:val="TitleClause"/>
    <w:qFormat/>
    <w:rsid w:val="0052307E"/>
    <w:pPr>
      <w:spacing w:before="120"/>
    </w:pPr>
    <w:rPr>
      <w:b w:val="0"/>
    </w:rPr>
  </w:style>
  <w:style w:type="paragraph" w:customStyle="1" w:styleId="ScheduleUntitledClause">
    <w:name w:val="Schedule Untitled Clause"/>
    <w:basedOn w:val="ScheduleTitleClause"/>
    <w:qFormat/>
    <w:rsid w:val="0052307E"/>
    <w:pPr>
      <w:spacing w:before="120"/>
    </w:pPr>
    <w:rPr>
      <w:b w:val="0"/>
    </w:rPr>
  </w:style>
  <w:style w:type="paragraph" w:customStyle="1" w:styleId="Titlesubclause1">
    <w:name w:val="Title subclause1"/>
    <w:basedOn w:val="Untitledsubclause1"/>
    <w:qFormat/>
    <w:rsid w:val="0052307E"/>
    <w:pPr>
      <w:spacing w:before="120"/>
    </w:pPr>
    <w:rPr>
      <w:b/>
    </w:rPr>
  </w:style>
  <w:style w:type="paragraph" w:customStyle="1" w:styleId="Schedule">
    <w:name w:val="Schedule"/>
    <w:qFormat/>
    <w:rsid w:val="0052307E"/>
    <w:pPr>
      <w:numPr>
        <w:numId w:val="22"/>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52307E"/>
    <w:rPr>
      <w:b/>
    </w:rPr>
  </w:style>
  <w:style w:type="paragraph" w:customStyle="1" w:styleId="Part">
    <w:name w:val="Part"/>
    <w:basedOn w:val="Paragraph"/>
    <w:qFormat/>
    <w:rsid w:val="0052307E"/>
    <w:pPr>
      <w:numPr>
        <w:ilvl w:val="1"/>
        <w:numId w:val="22"/>
      </w:numPr>
      <w:spacing w:before="240" w:after="240"/>
      <w:jc w:val="left"/>
    </w:pPr>
    <w:rPr>
      <w:b/>
    </w:rPr>
  </w:style>
  <w:style w:type="paragraph" w:customStyle="1" w:styleId="AnnexTitle">
    <w:name w:val="Annex Title"/>
    <w:basedOn w:val="Paragraph"/>
    <w:next w:val="Paragraph"/>
    <w:qFormat/>
    <w:rsid w:val="0052307E"/>
    <w:pPr>
      <w:spacing w:before="240" w:after="240"/>
    </w:pPr>
    <w:rPr>
      <w:b/>
    </w:rPr>
  </w:style>
  <w:style w:type="paragraph" w:customStyle="1" w:styleId="PartTitle">
    <w:name w:val="Part Title"/>
    <w:basedOn w:val="Paragraph"/>
    <w:qFormat/>
    <w:rsid w:val="0052307E"/>
    <w:rPr>
      <w:b/>
    </w:rPr>
  </w:style>
  <w:style w:type="paragraph" w:customStyle="1" w:styleId="Testimonium">
    <w:name w:val="Testimonium"/>
    <w:basedOn w:val="Paragraph"/>
    <w:qFormat/>
    <w:rsid w:val="0052307E"/>
  </w:style>
  <w:style w:type="character" w:customStyle="1" w:styleId="apple-converted-space">
    <w:name w:val="apple-converted-space"/>
    <w:basedOn w:val="DefaultParagraphFont"/>
    <w:rsid w:val="0052307E"/>
    <w:rPr>
      <w:color w:val="000000"/>
    </w:rPr>
  </w:style>
  <w:style w:type="character" w:styleId="Emphasis">
    <w:name w:val="Emphasis"/>
    <w:basedOn w:val="DefaultParagraphFont"/>
    <w:uiPriority w:val="20"/>
    <w:qFormat/>
    <w:rsid w:val="0052307E"/>
    <w:rPr>
      <w:i/>
      <w:iCs/>
      <w:color w:val="000000"/>
    </w:rPr>
  </w:style>
  <w:style w:type="paragraph" w:customStyle="1" w:styleId="NoNumTitle-Clause">
    <w:name w:val="No Num Title - Clause"/>
    <w:basedOn w:val="TitleClause"/>
    <w:qFormat/>
    <w:rsid w:val="0052307E"/>
    <w:pPr>
      <w:numPr>
        <w:numId w:val="0"/>
      </w:numPr>
      <w:ind w:left="720"/>
    </w:pPr>
  </w:style>
  <w:style w:type="paragraph" w:customStyle="1" w:styleId="NoNumTitlesubclause1">
    <w:name w:val="No Num Title subclause1"/>
    <w:basedOn w:val="Titlesubclause1"/>
    <w:qFormat/>
    <w:rsid w:val="0052307E"/>
    <w:pPr>
      <w:numPr>
        <w:ilvl w:val="0"/>
        <w:numId w:val="0"/>
      </w:numPr>
      <w:ind w:left="720"/>
    </w:pPr>
  </w:style>
  <w:style w:type="paragraph" w:customStyle="1" w:styleId="AddressLine">
    <w:name w:val="Address Line"/>
    <w:basedOn w:val="Paragraph"/>
    <w:qFormat/>
    <w:rsid w:val="0052307E"/>
  </w:style>
  <w:style w:type="paragraph" w:styleId="Date">
    <w:name w:val="Date"/>
    <w:basedOn w:val="Paragraph"/>
    <w:qFormat/>
    <w:rsid w:val="0052307E"/>
  </w:style>
  <w:style w:type="paragraph" w:customStyle="1" w:styleId="SalutationPara">
    <w:name w:val="Salutation Para"/>
    <w:basedOn w:val="Paragraph"/>
    <w:next w:val="Paragraph"/>
    <w:qFormat/>
    <w:rsid w:val="0052307E"/>
    <w:pPr>
      <w:spacing w:before="240"/>
    </w:pPr>
  </w:style>
  <w:style w:type="character" w:styleId="FollowedHyperlink">
    <w:name w:val="FollowedHyperlink"/>
    <w:basedOn w:val="DefaultParagraphFont"/>
    <w:uiPriority w:val="99"/>
    <w:semiHidden/>
    <w:unhideWhenUsed/>
    <w:rsid w:val="0052307E"/>
    <w:rPr>
      <w:i/>
      <w:color w:val="000000"/>
      <w:u w:val="single"/>
    </w:rPr>
  </w:style>
  <w:style w:type="character" w:customStyle="1" w:styleId="DefTerm">
    <w:name w:val="DefTerm"/>
    <w:basedOn w:val="DefaultParagraphFont"/>
    <w:uiPriority w:val="1"/>
    <w:qFormat/>
    <w:rsid w:val="0052307E"/>
    <w:rPr>
      <w:b/>
      <w:color w:val="000000"/>
    </w:rPr>
  </w:style>
  <w:style w:type="table" w:customStyle="1" w:styleId="ShadedTable">
    <w:name w:val="Shaded Table"/>
    <w:basedOn w:val="TableNormal"/>
    <w:uiPriority w:val="99"/>
    <w:rsid w:val="0052307E"/>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52307E"/>
    <w:rPr>
      <w:i/>
    </w:rPr>
  </w:style>
  <w:style w:type="paragraph" w:customStyle="1" w:styleId="LetterTitle">
    <w:name w:val="Letter Title"/>
    <w:basedOn w:val="Paragraph"/>
    <w:qFormat/>
    <w:rsid w:val="0052307E"/>
    <w:rPr>
      <w:b/>
    </w:rPr>
  </w:style>
  <w:style w:type="paragraph" w:customStyle="1" w:styleId="LongQuestionPara">
    <w:name w:val="Long Question Para"/>
    <w:basedOn w:val="Paragraph"/>
    <w:link w:val="LongQuestionParaChar"/>
    <w:rsid w:val="0052307E"/>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52307E"/>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52307E"/>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52307E"/>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A7445D"/>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52307E"/>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52307E"/>
    <w:pPr>
      <w:jc w:val="center"/>
    </w:pPr>
    <w:rPr>
      <w:sz w:val="28"/>
    </w:rPr>
  </w:style>
  <w:style w:type="paragraph" w:customStyle="1" w:styleId="Title-Clause">
    <w:name w:val="Title - Clause"/>
    <w:aliases w:val="BIWS Heading 1"/>
    <w:basedOn w:val="Normal"/>
    <w:rsid w:val="0052307E"/>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52307E"/>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52307E"/>
    <w:pPr>
      <w:spacing w:before="120"/>
    </w:pPr>
    <w:rPr>
      <w:b w:val="0"/>
    </w:rPr>
  </w:style>
  <w:style w:type="paragraph" w:customStyle="1" w:styleId="CoversheetParagraph">
    <w:name w:val="Coversheet Paragraph"/>
    <w:basedOn w:val="Normal"/>
    <w:autoRedefine/>
    <w:rsid w:val="0052307E"/>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52307E"/>
    <w:rPr>
      <w:smallCaps w:val="0"/>
      <w:sz w:val="22"/>
    </w:rPr>
  </w:style>
  <w:style w:type="paragraph" w:customStyle="1" w:styleId="CoversheetStaticText">
    <w:name w:val="Coversheet Static Text"/>
    <w:basedOn w:val="CoversheetIntro"/>
    <w:qFormat/>
    <w:rsid w:val="0052307E"/>
    <w:rPr>
      <w:b w:val="0"/>
    </w:rPr>
  </w:style>
  <w:style w:type="paragraph" w:customStyle="1" w:styleId="CoversheetParty">
    <w:name w:val="Coversheet Party"/>
    <w:basedOn w:val="CoversheetIntro"/>
    <w:qFormat/>
    <w:rsid w:val="0052307E"/>
  </w:style>
  <w:style w:type="paragraph" w:customStyle="1" w:styleId="NoNumUntitledClause">
    <w:name w:val="No Num Untitled Clause"/>
    <w:basedOn w:val="UntitledClause"/>
    <w:qFormat/>
    <w:rsid w:val="0052307E"/>
    <w:pPr>
      <w:numPr>
        <w:numId w:val="0"/>
      </w:numPr>
      <w:ind w:left="720"/>
    </w:pPr>
  </w:style>
  <w:style w:type="paragraph" w:customStyle="1" w:styleId="BackgroundSubclause1">
    <w:name w:val="Background Subclause1"/>
    <w:basedOn w:val="Background"/>
    <w:qFormat/>
    <w:rsid w:val="0052307E"/>
    <w:pPr>
      <w:numPr>
        <w:ilvl w:val="1"/>
      </w:numPr>
    </w:pPr>
  </w:style>
  <w:style w:type="paragraph" w:customStyle="1" w:styleId="BackgroundSubclause2">
    <w:name w:val="Background Subclause2"/>
    <w:basedOn w:val="Background"/>
    <w:qFormat/>
    <w:rsid w:val="0052307E"/>
    <w:pPr>
      <w:numPr>
        <w:ilvl w:val="3"/>
      </w:numPr>
    </w:pPr>
  </w:style>
  <w:style w:type="paragraph" w:customStyle="1" w:styleId="HeadingLevel2CQA">
    <w:name w:val="Heading Level 2 CQA"/>
    <w:basedOn w:val="HeadingLevel2"/>
    <w:qFormat/>
    <w:rsid w:val="0052307E"/>
  </w:style>
  <w:style w:type="paragraph" w:customStyle="1" w:styleId="ClauseBullet1">
    <w:name w:val="Clause Bullet 1"/>
    <w:basedOn w:val="ParaClause"/>
    <w:qFormat/>
    <w:rsid w:val="0052307E"/>
    <w:pPr>
      <w:numPr>
        <w:numId w:val="13"/>
      </w:numPr>
      <w:ind w:left="1077" w:hanging="357"/>
      <w:outlineLvl w:val="0"/>
    </w:pPr>
  </w:style>
  <w:style w:type="paragraph" w:customStyle="1" w:styleId="ClauseBullet2">
    <w:name w:val="Clause Bullet 2"/>
    <w:basedOn w:val="ParaClause"/>
    <w:qFormat/>
    <w:rsid w:val="0052307E"/>
    <w:pPr>
      <w:numPr>
        <w:numId w:val="14"/>
      </w:numPr>
      <w:ind w:left="1434" w:hanging="357"/>
      <w:outlineLvl w:val="1"/>
    </w:pPr>
  </w:style>
  <w:style w:type="paragraph" w:customStyle="1" w:styleId="subclause1Bullet1">
    <w:name w:val="subclause 1 Bullet 1"/>
    <w:basedOn w:val="Parasubclause1"/>
    <w:qFormat/>
    <w:rsid w:val="0052307E"/>
    <w:pPr>
      <w:numPr>
        <w:numId w:val="15"/>
      </w:numPr>
      <w:ind w:left="1077" w:hanging="357"/>
    </w:pPr>
  </w:style>
  <w:style w:type="paragraph" w:customStyle="1" w:styleId="subclause2Bullet1">
    <w:name w:val="subclause 2 Bullet 1"/>
    <w:basedOn w:val="Parasubclause2"/>
    <w:qFormat/>
    <w:rsid w:val="0052307E"/>
    <w:pPr>
      <w:numPr>
        <w:numId w:val="17"/>
      </w:numPr>
      <w:ind w:left="1434" w:hanging="357"/>
    </w:pPr>
  </w:style>
  <w:style w:type="paragraph" w:customStyle="1" w:styleId="subclause3Bullet1">
    <w:name w:val="subclause 3 Bullet 1"/>
    <w:basedOn w:val="Parasubclause3"/>
    <w:qFormat/>
    <w:rsid w:val="0052307E"/>
    <w:pPr>
      <w:numPr>
        <w:numId w:val="16"/>
      </w:numPr>
      <w:ind w:left="2273" w:hanging="357"/>
    </w:pPr>
  </w:style>
  <w:style w:type="paragraph" w:customStyle="1" w:styleId="subclause1Bullet2">
    <w:name w:val="subclause 1 Bullet 2"/>
    <w:basedOn w:val="Parasubclause1"/>
    <w:qFormat/>
    <w:rsid w:val="0052307E"/>
    <w:pPr>
      <w:numPr>
        <w:numId w:val="18"/>
      </w:numPr>
      <w:ind w:left="1434" w:hanging="357"/>
    </w:pPr>
  </w:style>
  <w:style w:type="paragraph" w:customStyle="1" w:styleId="subclause2Bullet2">
    <w:name w:val="subclause 2 Bullet 2"/>
    <w:basedOn w:val="Parasubclause2"/>
    <w:qFormat/>
    <w:rsid w:val="0052307E"/>
    <w:pPr>
      <w:numPr>
        <w:numId w:val="19"/>
      </w:numPr>
      <w:ind w:left="2273" w:hanging="357"/>
    </w:pPr>
  </w:style>
  <w:style w:type="paragraph" w:customStyle="1" w:styleId="subclause3Bullet2">
    <w:name w:val="subclause 3 Bullet 2"/>
    <w:basedOn w:val="Parasubclause3"/>
    <w:qFormat/>
    <w:rsid w:val="0052307E"/>
    <w:pPr>
      <w:numPr>
        <w:numId w:val="20"/>
      </w:numPr>
      <w:ind w:left="2982" w:hanging="357"/>
    </w:pPr>
  </w:style>
  <w:style w:type="paragraph" w:customStyle="1" w:styleId="DefinedTermBullet">
    <w:name w:val="Defined Term Bullet"/>
    <w:basedOn w:val="DefinedTermPara"/>
    <w:qFormat/>
    <w:rsid w:val="0052307E"/>
    <w:pPr>
      <w:numPr>
        <w:numId w:val="21"/>
      </w:numPr>
    </w:pPr>
  </w:style>
  <w:style w:type="paragraph" w:customStyle="1" w:styleId="DefinedTermNumber">
    <w:name w:val="Defined Term Number"/>
    <w:basedOn w:val="DefinedTermPara"/>
    <w:qFormat/>
    <w:rsid w:val="0052307E"/>
    <w:pPr>
      <w:numPr>
        <w:ilvl w:val="1"/>
      </w:numPr>
    </w:pPr>
  </w:style>
  <w:style w:type="paragraph" w:customStyle="1" w:styleId="AdditionalTitle">
    <w:name w:val="Additional Title"/>
    <w:basedOn w:val="Paragraph"/>
    <w:qFormat/>
    <w:rsid w:val="0052307E"/>
    <w:pPr>
      <w:jc w:val="left"/>
    </w:pPr>
    <w:rPr>
      <w:b/>
      <w:sz w:val="24"/>
    </w:rPr>
  </w:style>
  <w:style w:type="character" w:customStyle="1" w:styleId="error">
    <w:name w:val="error"/>
    <w:basedOn w:val="DefaultParagraphFont"/>
    <w:rsid w:val="0052307E"/>
    <w:rPr>
      <w:color w:val="000000"/>
    </w:rPr>
  </w:style>
  <w:style w:type="paragraph" w:customStyle="1" w:styleId="NoNumUntitledsubclause1">
    <w:name w:val="No Num Untitled subclause 1"/>
    <w:basedOn w:val="Untitledsubclause1"/>
    <w:qFormat/>
    <w:rsid w:val="0052307E"/>
    <w:pPr>
      <w:numPr>
        <w:ilvl w:val="0"/>
        <w:numId w:val="0"/>
      </w:numPr>
      <w:ind w:left="720"/>
    </w:pPr>
  </w:style>
  <w:style w:type="paragraph" w:customStyle="1" w:styleId="BackgroundParaClause">
    <w:name w:val="Background Para Clause"/>
    <w:basedOn w:val="Background"/>
    <w:qFormat/>
    <w:rsid w:val="0052307E"/>
    <w:pPr>
      <w:numPr>
        <w:numId w:val="0"/>
      </w:numPr>
    </w:pPr>
  </w:style>
  <w:style w:type="paragraph" w:customStyle="1" w:styleId="BackgroundParaSubclause1">
    <w:name w:val="Background Para Subclause1"/>
    <w:basedOn w:val="BackgroundSubclause1"/>
    <w:qFormat/>
    <w:rsid w:val="0052307E"/>
    <w:pPr>
      <w:numPr>
        <w:ilvl w:val="0"/>
        <w:numId w:val="0"/>
      </w:numPr>
      <w:ind w:left="994"/>
    </w:pPr>
    <w:rPr>
      <w:lang w:val="en-US"/>
    </w:rPr>
  </w:style>
  <w:style w:type="paragraph" w:customStyle="1" w:styleId="BackgroundParaSubclause2">
    <w:name w:val="Background Para Subclause2"/>
    <w:basedOn w:val="BackgroundSubclause2"/>
    <w:qFormat/>
    <w:rsid w:val="0052307E"/>
    <w:pPr>
      <w:numPr>
        <w:ilvl w:val="0"/>
        <w:numId w:val="0"/>
      </w:numPr>
      <w:ind w:left="1701"/>
    </w:pPr>
    <w:rPr>
      <w:lang w:val="en-US"/>
    </w:rPr>
  </w:style>
  <w:style w:type="paragraph" w:customStyle="1" w:styleId="ClauseBulletPara">
    <w:name w:val="Clause Bullet Para"/>
    <w:basedOn w:val="ClauseBullet1"/>
    <w:qFormat/>
    <w:rsid w:val="0052307E"/>
    <w:pPr>
      <w:numPr>
        <w:numId w:val="0"/>
      </w:numPr>
      <w:ind w:left="1080"/>
    </w:pPr>
    <w:rPr>
      <w:lang w:val="en-US"/>
    </w:rPr>
  </w:style>
  <w:style w:type="paragraph" w:customStyle="1" w:styleId="ClauseBullet2Para">
    <w:name w:val="Clause Bullet 2 Para"/>
    <w:basedOn w:val="ClauseBullet2"/>
    <w:qFormat/>
    <w:rsid w:val="0052307E"/>
    <w:pPr>
      <w:numPr>
        <w:numId w:val="0"/>
      </w:numPr>
      <w:ind w:left="1440"/>
    </w:pPr>
    <w:rPr>
      <w:lang w:val="en-US"/>
    </w:rPr>
  </w:style>
  <w:style w:type="paragraph" w:customStyle="1" w:styleId="ACTJurisdictionCheckList">
    <w:name w:val="ACTJurisdictionCheckList"/>
    <w:basedOn w:val="Normal"/>
    <w:rsid w:val="0052307E"/>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52307E"/>
  </w:style>
  <w:style w:type="paragraph" w:customStyle="1" w:styleId="EmptyClausePara">
    <w:name w:val="Empty Clause Para"/>
    <w:basedOn w:val="IgnoredSpacing"/>
    <w:qFormat/>
    <w:rsid w:val="0052307E"/>
  </w:style>
  <w:style w:type="paragraph" w:styleId="ListParagraph">
    <w:name w:val="List Paragraph"/>
    <w:basedOn w:val="Normal"/>
    <w:uiPriority w:val="34"/>
    <w:qFormat/>
    <w:rsid w:val="0052307E"/>
    <w:pPr>
      <w:ind w:left="720"/>
      <w:contextualSpacing/>
    </w:pPr>
  </w:style>
  <w:style w:type="paragraph" w:customStyle="1" w:styleId="ScheduleTitlesubclause1">
    <w:name w:val="Schedule Title subclause1"/>
    <w:basedOn w:val="ScheduleUntitledsubclause1"/>
    <w:qFormat/>
    <w:rsid w:val="0052307E"/>
    <w:pPr>
      <w:spacing w:before="120"/>
    </w:pPr>
    <w:rPr>
      <w:b/>
    </w:rPr>
  </w:style>
  <w:style w:type="paragraph" w:customStyle="1" w:styleId="BulletList1Pattern">
    <w:name w:val="Bullet List 1 + Pattern"/>
    <w:basedOn w:val="BulletList1"/>
    <w:qFormat/>
    <w:rsid w:val="0052307E"/>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52307E"/>
    <w:pPr>
      <w:shd w:val="clear" w:color="auto" w:fill="D9D9D9" w:themeFill="background1" w:themeFillShade="D9"/>
      <w:ind w:left="1077"/>
    </w:pPr>
  </w:style>
  <w:style w:type="paragraph" w:customStyle="1" w:styleId="6D83DCFF8BDF479DB88C9CA683CF81C7">
    <w:name w:val="6D83DCFF8BDF479DB88C9CA683CF81C7"/>
    <w:rsid w:val="0097262C"/>
    <w:pPr>
      <w:spacing w:after="120" w:line="240" w:lineRule="auto"/>
    </w:pPr>
    <w:rPr>
      <w:rFonts w:ascii="Arial" w:eastAsia="Times New Roman" w:hAnsi="Arial" w:cs="Times New Roman"/>
      <w:color w:val="000000"/>
      <w:sz w:val="24"/>
      <w:szCs w:val="24"/>
      <w:lang w:val="en-US" w:eastAsia="en-US"/>
    </w:rPr>
  </w:style>
  <w:style w:type="character" w:styleId="CommentReference">
    <w:name w:val="annotation reference"/>
    <w:basedOn w:val="DefaultParagraphFont"/>
    <w:uiPriority w:val="99"/>
    <w:semiHidden/>
    <w:unhideWhenUsed/>
    <w:rsid w:val="00A337BC"/>
    <w:rPr>
      <w:rFonts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basedOn w:val="DefaultParagraphFont"/>
    <w:link w:val="CommentText"/>
    <w:uiPriority w:val="99"/>
    <w:rsid w:val="00A337BC"/>
    <w:rPr>
      <w:rFonts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heme="minorBidi"/>
      <w:b/>
      <w:bCs/>
      <w:lang w:eastAsia="en-GB"/>
    </w:rPr>
  </w:style>
  <w:style w:type="character" w:customStyle="1" w:styleId="CommentSubjectChar">
    <w:name w:val="Comment Subject Char"/>
    <w:basedOn w:val="CommentTextChar"/>
    <w:link w:val="CommentSubject"/>
    <w:uiPriority w:val="99"/>
    <w:semiHidden/>
    <w:rsid w:val="00016E20"/>
    <w:rPr>
      <w:rFonts w:cs="Arial"/>
      <w:b/>
      <w:bCs/>
      <w:color w:val="000000"/>
      <w:sz w:val="20"/>
      <w:szCs w:val="20"/>
      <w:lang w:eastAsia="zh-TW"/>
    </w:rPr>
  </w:style>
  <w:style w:type="paragraph" w:styleId="Revision">
    <w:name w:val="Revision"/>
    <w:hidden/>
    <w:uiPriority w:val="99"/>
    <w:semiHidden/>
    <w:rsid w:val="00E52F24"/>
    <w:pPr>
      <w:spacing w:after="0" w:line="240" w:lineRule="auto"/>
    </w:pPr>
    <w:rPr>
      <w:color w:val="000000"/>
    </w:rPr>
  </w:style>
  <w:style w:type="character" w:customStyle="1" w:styleId="UnresolvedMention1">
    <w:name w:val="Unresolved Mention1"/>
    <w:basedOn w:val="DefaultParagraphFont"/>
    <w:uiPriority w:val="99"/>
    <w:semiHidden/>
    <w:unhideWhenUsed/>
    <w:rsid w:val="00A00379"/>
    <w:rPr>
      <w:color w:val="000000"/>
      <w:shd w:val="clear" w:color="auto" w:fill="E6E6E6"/>
    </w:rPr>
  </w:style>
  <w:style w:type="paragraph" w:customStyle="1" w:styleId="SectorSpecificNoteTitle">
    <w:name w:val="Sector Specific Note Title"/>
    <w:basedOn w:val="JurisdictionDraftingnoteTitle"/>
    <w:qFormat/>
    <w:rsid w:val="0052307E"/>
  </w:style>
  <w:style w:type="table" w:customStyle="1" w:styleId="ShadedTable1">
    <w:name w:val="Shaded Table1"/>
    <w:basedOn w:val="TableNormal"/>
    <w:uiPriority w:val="99"/>
    <w:rsid w:val="0052307E"/>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52307E"/>
  </w:style>
  <w:style w:type="character" w:customStyle="1" w:styleId="IgnoredEmptysubclauseChar">
    <w:name w:val="Ignored Empty subclause Char"/>
    <w:basedOn w:val="DefaultParagraphFont"/>
    <w:link w:val="IgnoredEmptysubclause"/>
    <w:rsid w:val="0052307E"/>
    <w:rPr>
      <w:color w:val="000000"/>
    </w:rPr>
  </w:style>
  <w:style w:type="paragraph" w:customStyle="1" w:styleId="FE9FEA9CC0E94E0FA5EFE209CA58453E">
    <w:name w:val="FE9FEA9CC0E94E0FA5EFE209CA58453E"/>
    <w:rsid w:val="00803222"/>
    <w:pPr>
      <w:spacing w:after="160" w:line="259" w:lineRule="auto"/>
    </w:pPr>
    <w:rPr>
      <w:color w:val="000000"/>
      <w:lang w:val="en-US" w:eastAsia="en-US"/>
    </w:rPr>
  </w:style>
  <w:style w:type="paragraph" w:styleId="TOC1">
    <w:name w:val="toc 1"/>
    <w:basedOn w:val="Normal"/>
    <w:next w:val="Normal"/>
    <w:autoRedefine/>
    <w:rsid w:val="00805BCE"/>
    <w:pPr>
      <w:spacing w:after="100" w:line="240" w:lineRule="auto"/>
    </w:pPr>
  </w:style>
  <w:style w:type="character" w:styleId="UnresolvedMention">
    <w:name w:val="Unresolved Mention"/>
    <w:basedOn w:val="DefaultParagraphFont"/>
    <w:uiPriority w:val="99"/>
    <w:rsid w:val="00EF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internationallawconnection.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internationallawconnection.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cdm:cachedDataManifest xmlns:cdm="http://schemas.microsoft.com/2004/VisualStudio/Tools/Applications/CachedDataManifest.xsd" cdm:revision="1"/>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document xmlns:xsd="http://www.w3.org/2001/XMLSchema" xmlns:xsi="http://www.w3.org/2001/XMLSchema-instance" guid="0" synced="true" validated="true">
  <n-docbody>
    <standard.doc precedenttype="agreement">
      <prelim>
        <product.name>product.name0</product.name>
        <title>Website privacy policy (UK)</title>
        <author>
          <link href="https://uk.practicallaw.thomsonreuters.com/Browse/Home/About/OurteamDataProtection" style="ACTLinkURL">
            <ital>Practical Law Data Protection</ital>
          </link>
        </author>
        <resource.type>Standard documents</resource.type>
        <juris>juris0</juris>
        <juris>juris1</juris>
      </prelim>
      <abstract>
        <para>
          <paratext>
            A standard customer-facing website privacy policy that complies with the retained EU law version of the General Data Protection Regulation (
            <ital>(EU) 2016/679</ital>
            ) (UK GDPR) and the Data Protection Act 2018 (DPA 2018). An online organization may use this policy to notify its website visitors about how it collects, uses and stores personal data through use of its website.
          </paratext>
        </para>
      </abstract>
      <toc.identifier hasToc="true"/>
      <body>
        <drafting.note id="a743101" jurisdiction="">
          <head align="left" preservecase="true">
            <headtext>About this document</headtext>
          </head>
          <division id="a000004" level="1">
            <para>
              <paratext>
                The UK data protection regime comprises the  
                <link href="w-026-8528" style="ACTLinkPLCtoPLC">
                  <ital>UK GDPR</ital>
                </link>
                 (that is, the 
                <link href="w-027-1020" style="ACTLinkPLCtoPLC">
                  <ital>retained EU law version of the General Data Protection Regulation ((EU) 2016/679)</ital>
                </link>
                , along with the 
                <link href="w-014-9417" style="ACTLinkPLCtoPLC">
                  <ital>Data Protection Act 2018</ital>
                </link>
                <ital> </ital>
                 (DPA 2018) and the 
                <link href="1-507-2637" style="ACTLinkPLCtoPLC">
                  <ital>Privacy and Electronic Communications (EC Directive) Regulations 2003 (SI 2003/2426) </ital>
                </link>
                 (PECR).
              </paratext>
            </para>
            <para>
              <paratext>
                <link href="https://uk.westlaw.com/Document/I50AFD2F04E4711F0B3DAAB7E187D74F0/View/FullText.html" style="ACTLinkURL">
                  <ital>Data (Use and Access) Act 2025</ital>
                </link>
                <link href="w-010-6097" style="ACTLinkPLCtoPLC">
                  <ital>UK data protection legislation tracker</ital>
                </link>
              </paratext>
            </para>
            <para>
              <paratext/>
            </para>
            <para>
              <paratext>
                As the 
                <link href="w-026-8527" style="ACTLinkPLCtoPLC">
                  <ital>EU GDPR</ital>
                </link>
                 has extraterritorial effect (see Article 3, EU GDPR), the EU GDPR may also apply to UK 
                <link href="5-107-5723" style="ACTLinkPLCtoPLC">
                  <ital>controllers</ital>
                </link>
                 or 
                <link href="2-384-8947" style="ACTLinkPLCtoPLC">
                  <ital>processors </ital>
                </link>
                who have an establishment in the EU, or who offer goods or services to data subjects in the EU, or who monitor their behaviour as far as their behaviour takes place within the EU. These organisations may therefore find themselves subject to dual data protection regulatory regimes under the UK GDPR and the EU GDPR. For more information, see 
                <link href="w-035-9188" style="ACTLinkPLCtoPLC">
                  <ital>Practice note, Processing personal data: applicability of EU GDPR and UK GDPR</ital>
                </link>
                .
              </paratext>
            </para>
            <para>
              <paratext>For the purposes of this document, we have assumed that we are dealing with an organisation subject to the UK GDPR which does not provide goods or services to EU data subjects or monitor their behaviour. For that reason, we refer only to compliance with the DPA 2018 and the UK GDPR (as well as PECR where relevant). However, where an organisation is also subject to the EU GDPR, it may be possible to adapt this document as the requirements are similar, subject to local law advice and depending on where the organisation operates.</paratext>
            </para>
            <division id="a679274" level="2">
              <head align="left" preservecase="true">
                <headtext>Transparency requirements</headtext>
              </head>
              <para>
                <paratext>
                  As part of the 
                  <link href="w-027-1020" style="ACTLinkPLCtoPLC">
                    <ital>UK GDPR</ital>
                  </link>
                   principles, businesses must comply with the transparency requirements set out in Articles 13 and 14 of the UK GDPR.
                </paratext>
              </para>
              <para>
                <paratext>The transparency principles require all controllers to notify data subjects about their personal data handling practices at the time that data is collected. For an online business, that will usually be through their website privacy policy. A privacy policy informs data subjects about how the organisation collects, uses, stores, transfers and secures their personal data.</paratext>
              </para>
              <para>
                <paratext>This privacy policy is intended for use on a website that collects:</paratext>
              </para>
              <list type="bulleted">
                <list.item>
                  <para>
                    <paratext>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separate website terms of use or other similar terms and conditions as well as a cookie policy. For a UK-based template website terms and conditions, see 
                  <link href="5-201-7195" style="ACTLinkPLCtoPLC">
                    <ital>Standard document, Website terms of service (UK)</ital>
                  </link>
                   and 
                  <link href="9-617-4909" style="ACTLinkPLCtoPLC">
                    <ital>Standard document, Consumer goods, services and digital content terms and conditions (all channels)</ital>
                  </link>
                  . For a cookie policy, see 
                  <link href="w-019-8333" style="ACTLinkPLCtoPLC">
                    <ital>Standard document, Cookie policy (UK)</ital>
                  </link>
                  . For more information on transparency, see 
                  <link href="w-039-4444" style="ACTLinkPLCtoPLC">
                    <ital>Complying with the UK GDPR's transparency requirements toolkit</ital>
                  </link>
                  . See also 
                  <link href="w-042-2620" style="ACTLinkPLCtoPLC">
                    <ital>Practice note, Website terms of service: drafting for children (UK)</ital>
                  </link>
                  . For mobile app privacy notices, see 
                  <link href="w-043-6433" style="ACTLinkPLCtoPLC">
                    <ital>Standard documents, Mobile app privacy notice (short form) (UK and EU)</ital>
                  </link>
                   and 
                  <link href="w-015-6885" style="ACTLinkPLCtoPLC">
                    <ital>Mobile app privacy notice (long form) (UK and EU)</ital>
                  </link>
                  .
                </paratext>
              </para>
            </division>
            <division id="a161287" level="2">
              <head align="left" preservecase="true">
                <headtext>What to call the policy</headtext>
              </head>
              <para>
                <paratext>This template is titled privacy policy, but it can equally be called something else as long as it covers what is required under the UK GDPR. There are a variety of terms that can be used to describe the method used to deliver transparency information to individuals, including data protection notice, information notice, privacy policy, privacy statement, privacy notice and data privacy notice. The terminology used can depend on a number of factors, for example:</paratext>
              </para>
              <list type="bulleted">
                <list.item>
                  <para>
                    <paratext>Local law requirements and global reach for a notice such as a privacy policy.</paratext>
                  </para>
                </list.item>
                <list.item>
                  <para>
                    <paratext>Private or public sector (in the case of public sector, they may choose to cover both data protection and freedom of information).</paratext>
                  </para>
                </list.item>
                <list.item>
                  <para>
                    <paratext>House style and other factors.</paratext>
                  </para>
                </list.item>
              </list>
              <para>
                <paratext>There is no one size fits all, nor is the legislation prescriptive on this point. The requirement is to make it clear that the notice includes fair processing and transparency information and that it is made accessible.</paratext>
              </para>
            </division>
            <division id="a297023" level="2">
              <head align="left" preservecase="true">
                <headtext>Determining what personal data is processed</headtext>
              </head>
              <para>
                <paratext>
                  Organisations should conduct a gap analysis to compare the personal data processing practices revealed in its data privacy audit to the statements in its privacy policy. If the organisation is not aware of its data processing activities at a detailed level then, before using this privacy policy, it is essential that a detailed data privacy audit is undertaken to understand how the organisation uses, or plans to use, the personal data it processes about its customers. The results of the audit should be documented. For further information, see 
                  <link href="3-504-7821" style="ACTLinkPLCtoPLC">
                    <ital>Checklist, Data protection audit: checklist (UK)</ital>
                  </link>
                  <ital> </ital>
                  and 
                  <link anchor="a109414" href="w-032-7291" style="ACTLinkPLCtoPLC">
                    <ital>Data protection accountability toolkit (UK): Audits</ital>
                  </link>
                  .
                </paratext>
              </para>
              <para>
                <paratext>
                  <bold>This privacy policy must be tailored on a case-by-case basis for each organisation, in the light of the results of the data protection audit. This standard document gives various examples under each heading, but each organisation must ensure that each part of the privacy policy accurately reflects its own actual or anticipated personal data collection, handling and sharing practices.</bold>
                </paratext>
              </para>
            </division>
            <division id="a177143" level="2">
              <head align="left" preservecase="true">
                <headtext>Making the policy available</headtext>
              </head>
              <para>
                <paratext>
                  A website privacy policy should be made available to individuals as a standalone resource. Organisations should therefore avoid embedding a privacy policy within their legal terms and conditions as this could have the effect of putting off readers because of information fatigue due to the overall length of the document and regulators have noted this (for example the Irish Data Protection Commissioner (DPC) and the 
                  <link href="w-014-9105" style="ACTLinkPLCtoPLC">
                    <ital>European Data Protection Board </ital>
                  </link>
                  (EDPB), see 
                  <link href="w-039-8978" style="ACTLinkPLCtoPLC">
                    <ital>Video, European Data Protection Board's Meta Decisions on Lawful Basis for Processing, Transparency, and Fairness</ital>
                  </link>
                  ).
                </paratext>
              </para>
              <para>
                <paratext>This privacy policy has been designed for an online business but can be adapted for use offline.</paratext>
              </para>
              <para>
                <paratext>
                  Training should also be provided to staff who handle personal data across the organisation in relation to the requirements under the UK GDPR and the issues arising in this privacy policy (see 
                  <link anchor="a353270" href="w-032-7291" style="ACTLinkPLCtoPLC">
                    <ital>Data protection accountability toolkit (UK): Training and awareness</ital>
                  </link>
                  ).
                </paratext>
              </para>
              <para>
                <paratext>
                  For more information on transparency requirements, see 
                  <link href="w-039-3886" style="ACTLinkPLCtoPLC">
                    <ital>Complying with the UK GDPR's transparency requirements: checklist</ital>
                  </link>
                  .
                </paratext>
              </para>
            </division>
            <division id="a267306" level="2">
              <head align="left" preservecase="true">
                <headtext>Guidance and decisions</headtext>
              </head>
              <para>
                <paratext>
                  Guidelines on how to comply with the transparency provisions under the EU GDPR are currently set out in the 
                  <link href="https://www.edpb.europa.eu/our-work-tools/our-documents/article-29-working-party-guidelines-transparency-under-regulation_en" style="ACTLinkURL">
                    <ital>Article 29 Working Party: Guidelines on Transparency under Regulation 2016/679 (WP260 rev.01)</ital>
                  </link>
                  <ital>, </ital>
                  adopted 29 November 2017 (EDPB Transparency Guidelines) (the 
                  <link href="1-508-0312" style="ACTLinkPLCtoPLC">
                    <ital>EU Article 29 Working Party </ital>
                  </link>
                   no longer exists and is now the EDPB and the EDPB adopted these guidelines during its first plenary meeting and revised them further in April 2018. See 
                  <link href="w-012-2756" style="ACTLinkPLCtoPLC">
                    <ital>Legal update, Article 29 Working Party publishes guidelines on transparency for consultation (full update)</ital>
                  </link>
                  ). The EDPB Transparency Guidelines are still of relevance in the UK and have been cited by the ICO in enforcement decisions, for example in its decision on Tik Tok in May 2023. See 
                  <link href="w-039-0777" style="ACTLinkPLCtoPLC">
                    <ital>Legal update, ICO fines TikTok £12.7 million for misuse of children's personal data</ital>
                  </link>
                   and 
                  <link anchor="a760577" href="w-013-2516" style="ACTLinkPLCtoPLC">
                    <ital>Practice note, ICO civil penalties: tracker</ital>
                  </link>
                  .
                </paratext>
              </para>
              <para>
                <paratext>
                  The ICO has also issued guidance on providing information to individuals, transparency and the right to be informed (
                  <link href="https://ico.org.uk/for-organisations/uk-gdpr-guidance-and-resources/" style="ACTLinkURL">
                    <ital>ICO:UK GDPR guidance and resources</ital>
                  </link>
                  ).
                </paratext>
              </para>
              <para>
                <paratext>
                  The ICO has also created a tool known as the 
                  <link href="https://ico.org.uk/for-organisations/advice-for-small-organisations/create-your-own-privacy-notice/privacy-notice-generator-for-customers-or-suppliers/" style="ACTLinkURL">
                    <ital>privacy notice generator</ital>
                  </link>
                   that allows organisations to create bespoke privacy notices. There are five privacy policy templates available for customer and supplier information:
                </paratext>
              </para>
              <list type="bulleted">
                <list.item>
                  <para>
                    <paratext>Professional services (including finance, insurance and legal services).</paratext>
                  </para>
                </list.item>
                <list.item>
                  <para>
                    <paratext>Education and childcare.</paratext>
                  </para>
                </list.item>
                <list.item>
                  <para>
                    <paratext>Health and social care.</paratext>
                  </para>
                </list.item>
                <list.item>
                  <para>
                    <paratext>Charity and voluntary.</paratext>
                  </para>
                </list.item>
                <list.item>
                  <para>
                    <paratext>Other businesses, including retail and manufacture.</paratext>
                  </para>
                </list.item>
              </list>
              <para>
                <paratext>There is also a separate template for staff and volunteer information.</paratext>
              </para>
              <para>
                <paratext>The ICO advises that the privacy notice generator tool is only suitable for small and medium-sized businesses and charities. It is not suitable for organisations that carry out automated decsion-making or that are required to appoint a DPO without making significant changes to the template.</paratext>
              </para>
              <para>
                <paratext>
                  This privacy policy has been drafted to comply principally with the 
                  <link href="w-027-1020" style="ACTLinkPLCtoPLC">
                    <ital>UK GDPR</ital>
                  </link>
                  , with references to how the EDPB Transparency Guidelines have been incorporated or where they are difficult to comply with in practice and also takes account of the ICO guidance in this area.
                </paratext>
              </para>
              <para>
                <paratext>This document also refers to decisions made by the EDPB and EU regulators (in particular Ireland) which, although not binding on the UK, are nevertheless of interest in interpreting the UK GDPR and may be referred to by the ICO in decision-making.</paratext>
              </para>
            </division>
            <division id="a149581" level="2">
              <head align="left" preservecase="true">
                <headtext>What is not covered in this privacy policy</headtext>
              </head>
              <para>
                <paratext>
                  This template does not address certain types of personal data collection or processing that may require additional disclosures or specific consents, including websites that provide interactive features, social media applications, undertake automated decision-making or websites that process any of the following types of data. For more information and other templates, see 
                  <link href="w-039-4444" style="ACTLinkPLCtoPLC">
                    <ital>Complying with the UK GDPR's transparency requirements toolkit</ital>
                  </link>
                  .
                </paratext>
              </para>
              <division id="a207214" level="3">
                <head align="left" preservecase="true">
                  <headtext>Special categories of personal data or criminal conviction data</headtext>
                </head>
                <para>
                  <paratext>This includes data which can reveal an individual's racial or ethnic origin, political opinions, religious or philosophical beliefs, or trade union membership. It also includes processing of genetic data, biometric data for the purpose of uniquely identifying a natural person, data concerning health or data concerning a natural person's sex life or sexual orientation.</paratext>
                </para>
                <para>
                  <paratext>This template privacy policy also does not address data relating to criminal convictions and offences.</paratext>
                </para>
                <para>
                  <paratext>
                    Websites collecting special categories of personal data or data relating to criminal convictions and offences will need to provide an enhanced privacy policy and may need to obtain explicit, opt-in consent for the proposed use with "click-wrap" or "check box" consent forms unless they can rely on a legal ground other than consent for collecting that data (see 
                    <link anchor="a472063" href="w-013-3757" style="ACTLinkPLCtoPLC">
                      <ital>Practice note, Overview of UK GDPR: Special categories of personal data</ital>
                    </link>
                    <ital> </ital>
                    and  
                    <link anchor="a870508" href="w-014-6104" style="ACTLinkPLCtoPLC">
                      <ital>Practice note, UK GDPR and DPA 2018: exemptions: Special categories of personal data and criminal convictions and offences data)</ital>
                    </link>
                    .
                  </paratext>
                </para>
              </division>
              <division id="a924333" level="3">
                <head align="left" preservecase="true">
                  <headtext>Children's personal data</headtext>
                </head>
                <para>
                  <paratext>
                    Websites targeting children should review parental policy and consent requirements (see 
                    <link href="w-019-3844" style="ACTLinkPLCtoPLC">Practice notes, Children and the law: data protection aspects (UK)</link>
                     and 
                    <link href="w-039-8568" style="ACTLinkPLCtoPLC">Drafting child-friendly privacy notices (UK)</link>
                    ). In the UK, sites likely to be accessed by under 18 year olds, where the site owner processes such children's data, must comply with the ICO's Age-Appropriate Design Code (Children's Code), which says
                  </paratext>
                </para>
                <display.quote>
                  <para>
                    <paratext>
                      "The privacy information you provide to users, and other published terms, policies and community standards, must be concise, prominent, and in clear language suited to the age of the child. Provide additional specific "bite-sized" explanations about how you use personal data at the point that use is activated.” (See 
                      <link href="https://ico.org.uk/for-organisations/uk-gdpr-guidance-and-resources/childrens-information/childrens-code-guidance-and-resources/age-appropriate-design-a-code-of-practice-for-online-services/" style="ACTLinkURL">
                        <ital>ICO: Age appropriate design: a code of practice for online services (Children's Code)</ital>
                      </link>
                      .)
                    </paratext>
                  </para>
                </display.quote>
                <para>
                  <paratext>Greater preparation and creativity is required when designing and drafting privacy notices for children (compared to the typical written text of an adult-facing privacy notice) to take account of the age of the child and the fact that their developmental needs may change as they grow older. It is crucial to know the age range of your users so that you can provide privacy information to them which is concise, prominent and in clear language suited to the age of the child. Controllers providing products or services to children via their website should consult the Children’s Code and the related guidance on the ICO's website in order to ensure that they meet the regulator's expectations regarding the drafting of child-friendly privacy notices.</paratext>
                </para>
                <para>
                  <paratext>Publishing information in a stand-alone privacy policy, which may be situated at the bottom of a web page, is highly unlikely to be sufficient to comply with the Children's Code. A compliant approach would involve providing privacy information in different child-friendly formats throughout the website including, for example, the potential use of icons and pop-up boxes, where a child might be prompted to do something that could affect the way their data is used. The ICO also advises using diagrams, cartoons, graphics and videos to help make privacy notices appealing to a young audience.</paratext>
                </para>
                <para>
                  <paratext>Therefore, although this policy states that it is not intended for children, the controller will need to consider whether the website is, in fact, likely to be accessed by children, in which case they will need to make amendments to the policy and other privacy practices to take account of the Children's Code.</paratext>
                </para>
                <para>
                  <paratext>
                    See 
                    <link anchor="a190506" href="w-019-3844" style="ACTLinkPLCtoPLC">
                      <ital>Practice notes, Children and the law: data protection aspects (UK): Transparency, privacy by design and age-appropriate privacy notices for children</ital>
                    </link>
                    <ital>,</ital>
                    <link anchor="a684634" href="w-020-2218" style="ACTLinkPLCtoPLC">
                      <ital>Social media compliance: Children's code</ital>
                    </link>
                    , 
                    <link href="w-039-8568" style="ACTLinkPLCtoPLC">
                      <ital>Drafting child-friendly privacy notices (UK)</ital>
                    </link>
                    , 
                    <link href="w-043-9946" style="ACTLinkPLCtoPLC">
                      <ital>Toolkit, Children and data protection toolkit (UK)</ital>
                    </link>
                     and 
                    <link href="w-039-5753" style="ACTLinkPLCtoPLC">
                      <ital>Checklist, Drafting child-friendly privacy notices (UK)</ital>
                    </link>
                    .
                  </paratext>
                </para>
              </division>
              <division id="a429089" level="3">
                <head align="left" preservecase="true">
                  <headtext>Employee personal data</headtext>
                </head>
                <para>
                  <paratext>
                    Organisations typically provide employee privacy policies through separate internal policies after consulting employment counsel (see 
                    <link href="w-011-4217" style="ACTLinkPLCtoPLC">
                      <ital>Standard document, UK GDPR Privacy notice for employees, workers and contractors</ital>
                    </link>
                    ).
                  </paratext>
                </para>
                <para>
                  <paratext>
                    This website privacy policy is drafted from the perspective of a customer-facing organisation on a public facing website (as opposed to an employee-facing privacy policy which would typically appear on an organisation’s intranet or within a staff handbook). See 
                    <link href="8-386-8683" style="ACTLinkPLCtoPLC">
                      <ital>Standard document, Staff handbook (long form)</ital>
                    </link>
                    .
                  </paratext>
                </para>
                <para>
                  <paratext>In all cases, a business should carefully assess the different types of data being collected and processed to provide specific goods and services and adapt this privacy policy accordingly.</paratext>
                </para>
              </division>
            </division>
            <division id="a326193" level="2">
              <head align="left" preservecase="true">
                <headtext>Format of this privacy policy</headtext>
              </head>
              <para>
                <paratext>
                  Under Article 13 of the 
                  <link href="w-027-1020" style="ACTLinkPLCtoPLC">
                    <ital>UK GDPR</ital>
                  </link>
                  , a business is required to provide the individual with certain information at the point their data is collected (see 
                  <internal.reference refid="a257582">
                    <ital>Drafting note, Provision of information to data subjects</ital>
                  </internal.reference>
                  ). All information provided must be concise, transparent, easily accessible and given in plain language (
                  <ital>Article 12, UK GDPR</ital>
                  ).  The design and format of the privacy policy is therefore key to achieving compliance with these Article 12 transparency requirements. See 
                  <link href="w-039-3886" style="ACTLinkPLCtoPLC">
                    <ital>Checklist, Complying with the UK GDPR's transparency requirements</ital>
                  </link>
                  .
                </paratext>
              </para>
              <para>
                <paratext>Although the EDPB Transparency Guidelines have suggested various mechanisms to assist with these requirements, they have recognised that there remains an inherent tension between the requirement, on the one hand, to provide comprehensive information and, on the other hand, to do so in a form that is concise, transparent, intelligible and easily accessible. The EDPB Transparency Guidelines suggest that controllers need to undertake their own analysis of the nature, circumstances, scope and context of the processing of personal data which they carry out and decide how to prioritise information which must be provided to data subjects, the level of details to include and methods for conveying the information.</paratext>
              </para>
              <para>
                <paratext>The UK GDPR allows for the use of visualisation tools as well as language communications to comply with the principle of transparency. Visualisation tools can include icons, certification mechanisms, and data protection seals and marks. However, as there are no uniformly agreed icons, this document does not refer to them in detail.</paratext>
              </para>
              <para>
                <paratext>Many privacy regulators, including the ICO, recommend a layered policy format, which pairs a short summary with a linked detailed disclosure, as the most effective way to simplify a complex privacy policy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and suggests that it is good practice to use the same medium to provide information as is used to collect the information.</paratext>
              </para>
              <para>
                <paratext>
                  Examples include a layered approach, privacy dashboards, just-in-time notices, icons and mobile and smart device functionalities. The ICO suggests that taking a blended approach, using more than one technique, can often be effective. However, businesses should avoid fragmenting policies into too many individual documents to ensure the privacy policy remains accessible to users. Care should therefore be taken when layering privacy information in order to comply with the important requirement in Article 12(1) of the UK GDPR for privacy information to be easily accessible. The Irish DPC made the important finding in its landmark decision on WhatsApp that where privacy information is contained in multiple, linked documents, it may be viewed as being not easily accessible to the user, especially where the documents contain overlapping, but slightly different, information (as was the case with WhatsApp's privacy notices and related policies). See 
                  <link href="w-039-8978" style="ACTLinkPLCtoPLC">
                    <ital>Video, European Data Protection Board's Meta Decisions on Lawful Basis for Processing, Transparency, and Fairness</ital>
                  </link>
                  .
                </paratext>
              </para>
              <para>
                <paratext>The EDPB Transparency Guidelines also refer to use of privacy dashboards and just-in-time notices as well as recommending that certain important information (for example, purpose of processing, identity of controller, description of data subject's rights and processing which has the most impact on an individual or might surprise them) should be provided up front, as a first layer in the privacy policy. The entirety of the information should also be available in a single place or as a complete document so that there is an easy way for the user to know that they have seen all the relevant privacy information. This latter point was emphasised in the WhatsApp case, along with a reminder that controllers should avoid having a continuous scroll of information in their website privacy policies, with no way for the user to see short-cut options after the home page.</paratext>
              </para>
              <para>
                <paratext>This privacy policy follows a layered format providing the title of each of the thirteen sections which link through to the content for each section, rather than setting out everything in full in one document (although users are given the option of downloading the full document should they so wish). The clicked through sections enable the controller to meet the Article 12 requirement for the privacy information to be easily accessible.</paratext>
              </para>
              <para>
                <paratext>This policy has split the different areas by the type of processing (for example, collection, use and sharing). However, organisations could follow a different format and split their policy up differently, by perhaps following the execution process with a customer (for example, direct marketing, onboarding a customer, provision of goods and services, aftersales and complaints).</paratext>
              </para>
              <para>
                <paratext>Organisations with entities in multiple jurisdictions face compliance challenges when trying to implement website privacy policies as part of a global privacy compliance programme. Multinationals must choose between implementing a single, global privacy policy applicable for all their customers globally or jurisdiction-specific or regional privacy policies, taking into account the fact that even within the EU, member states are likely to have varying rules on data protection. This policy is UK focused but can be adapted as required as the requirements are similar in the UK GDPR and EU GDPR, subject to local law advice and depending on where the organisation operates.</paratext>
              </para>
            </division>
            <division id="a257582" level="2">
              <head align="left" preservecase="true">
                <headtext>Provision of information to data subjects</headtext>
              </head>
              <para>
                <paratext>
                  When collecting personal data direct from the data subject, the 
                  <link href="w-027-1020" style="ACTLinkPLCtoPLC">
                    <ital>UK GDPR</ital>
                  </link>
                   requires controllers to provide the data subject with the following information:
                </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UK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UK or an international organisation, and the existence or absence of adequacy regulations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Information Commissioner.</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This information should be provided at the time the data is obtained, although there is an exception where and insofar as the data subject already has the information.</paratext>
              </para>
              <para>
                <paratext>
                  For details of the information to be provided to individuals when personal data is collected from a third party (Article 14), see 
                  <internal.reference refid="a216677">
                    <ital>Drafting note, How is your personal data collected?</ital>
                  </internal.reference>
                  . The information should be provided within a reasonable period after obtaining the personal data and at the latest within one month or alternatively, where the personal data will be used to communicate with the data subject then at the latest at the time or first communication and if disclosure is envisaged then at the latest when the personal data is first disclosed. The information does not have to be provided if it would prove impossible or would involve a disproportionate effort and the ICO has issued some guidance on when these exceptions could apply (
                  <link href="https://ico.org.uk/for-organisations/uk-gdpr-guidance-and-resources/individual-rights/individual-rights/right-to-be-informed/" style="ACTLinkURL">
                    <ital>ICO: Right to be informed</ital>
                  </link>
                  ).
                </paratext>
              </para>
              <para>
                <paratext>
                  For more information, see 
                  <link href="w-039-3886" style="ACTLinkPLCtoPLC">
                    <ital>Checklist, Complying with the UK GDPR's transparency requirements</ital>
                  </link>
                  .
                </paratext>
              </para>
            </division>
            <division id="a477505" level="2">
              <head align="left" preservecase="true">
                <headtext>Taking a risk-based approach</headtext>
              </head>
              <para>
                <paratext>
                  The EDPB Transparency Guidelines go further than what is required in Articles 13 and 14 of the 
                  <link href="w-027-1020" style="ACTLinkPLCtoPLC">
                    <ital>UK GDPR</ital>
                  </link>
                   in many respects, as set out in the examples given below. These more onerous requirements could potentially make privacy policies long, complex and legalistic, therefore defeating one of the main principles of the UK GDPR to keep policies simple. The key challenge for businesses is to achieve a balance between providing comprehensive information to comply with the UK GDPR yet make the policy simple and transparent in a meaningful way for its customers.
                </paratext>
              </para>
              <para>
                <paratext>Each business is different in terms of risk appetite, type of customers and complexity of data processing activities. For example, for a consumer-facing business, the privacy policy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policy.</paratext>
              </para>
            </division>
            <division id="a398949" level="2">
              <head align="left" preservecase="true">
                <headtext>Onerous requirements arising out of interpretation of EU GDPR by EDPB Transparency Guidelines</headtext>
              </head>
              <para>
                <paratext>The bullets below set out some of the more onerous regulatory requirements set out by the EDPB in relation to transparency under the EU GDPR. Where appropriate, we have stated the position of the ICO in interpreting the UK GDPR:</paratext>
              </para>
              <list type="bulleted">
                <list.item>
                  <para>
                    <paratext>
                      The EU GDPR and UK GDPR require the controller to set out the purposes and legal basis of any processing. The EDPB requires that "the relevant legal basis relied upon under Art 6 and 9 must be specified" including the applicable member state law. This implies that each purpose or processing activity should be matched to a specific legal basis, including calling out additional legal basis per activity where relevant. This is also the position of the ICO and is discussed below in relation to 
                      <internal.reference refid="a179246">
                        <ital>paragraph 4</ital>
                      </internal.reference>
                       of the privacy policy (
                      <ital>How we use your personal data</ital>
                      ).
                    </paratext>
                  </para>
                </list.item>
                <list.item>
                  <para>
                    <paratext>
                      The EU GDPR and UK GDPR require you to set out the specific legitimate interests being relied on. The EDPB suggests the balancing interest test used to rely on legitimate interest also needs to be provided to the data subject before collection of data or included in a layered policy, or it should be made clear that this test is available on request. Whilst the ICO also expects controllers to identify in the privacy policy the specific legitimate interests being relied on, it is unlikely that the UK regulator would adopt such a strict approach in terms of requiring controllers to provide individuals with information in the privacy policy about the actual legitimate balancing test that was previously carried out. See 
                      <link href="w-037-4611" style="ACTLinkPLCtoPLC">
                        <ital>Checklist, Data Protection legitimate interests assessment (UK): checklist</ital>
                      </link>
                      .
                    </paratext>
                  </para>
                </list.item>
                <list.item>
                  <para>
                    <paratext>The EU GDPR and UK GDPR state you should provide data subjects with "relevant further information as referred to in paragraph 2" where personal data is used for another purpose. The EDPB has interpreted this to mean all information in Article 13(2) should be provided and also suggested that a compatibility analysis should be provided before the different processing is undertaken. Where controllers choose not to include the compatibility analysis in a privacy policy or statement, the EDPB recommends that they make it clear to data subjects that they can obtain this information on request.</paratext>
                  </para>
                </list.item>
                <list.item>
                  <para>
                    <paratext>The EU GDPR and UK GDPR state the source from which personal data originated and whether it came from a publicly available source should be provided when data is not obtained from an individual. Recital 61 states that where the source cannot be provided because various sources have been used, general information should be provided instead. The EDPB provides clarity on what it believes this general information should include: the nature of the source (that is, publicly or privately held sources) and the type of organisation/industry/sector.</paratext>
                  </para>
                </list.item>
                <list.item>
                  <para>
                    <paratext>The EU GDPR and UK GDPR require recipients or categories of recipients to be set out in the privacy policy. The EDPB states recipients could include other controllers, processors or joint controllers, so this could extend to internal recipients in respect to intra-group data transfers. The EDPB recommends privacy policies to name actual individual recipients although controllers can opt to provide categories of recipients. Where categories are provided, the type of recipient (that is, activity carried out), the industry sector (and sub-sector) and location of the recipients should be provided. The ICO adopts a similar interpretation of this provision.</paratext>
                  </para>
                </list.item>
                <list.item>
                  <para>
                    <paratext>
                      The EU GDPR and UK GDPR require privacy policies to state when data is transferred out of the EEA and the mechanism relied on, together with means to obtain details of the mechanism. The EDPB recommends the policy should generally list individual countries outside the EEA where data has been transferred. The ICO has adopted a similar approach in the Tik Tok case for data transfers out of the UK which is discussed in 
                      <internal.reference refid="a888527">
                        <ital>paragraph 6</ital>
                      </internal.reference>
                       section of the privacy policy below (International transfers).
                    </paratext>
                  </para>
                </list.item>
              </list>
            </division>
            <division id="a579296" level="2">
              <head align="left" preservecase="true">
                <headtext>Business sign-off and user testing</headtext>
              </head>
              <para>
                <paratext>The privacy policy should not make promises or statements that an organisation cannot fulfil as data subjects or privacy regulators may act to enforce the privacy policy terms. To ensure the privacy policy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 and data protection compliance function (including DPO where applicable).</paratext>
                  </para>
                </list.item>
              </list>
              <para>
                <paratext>Organisations should periodically audit and verify compliance with the statements in the privacy policy, particularly around any website visitor data use choices or opt-out methods (for example, mailing list unsubscribe procedures). Failure to implement effective procedures and technology or comply with user opt-out requests exposes businesses to potential liability.</paratext>
              </para>
              <para>
                <paratext>The ICO also recommends user-testing as a good way to get feedback on how effective the privacy policy is and that organisations should put themselves in the position of the people they are collecting information about.</paratext>
              </para>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5" level="1">
                <para>
                  <paratext>This privacy policy may be used by an online organisation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
                    The template provisions set out in this privacy policy deal with processing non-sensitive personal data with relatively limited processing activities. Accordingly, this document will need to be tailored and provisions expanded on if a website or organisation has a complex operation involving many parties, or numerous different types of data and numerous processing activities. For more information see 
                    <internal.reference refid="a743101">
                      <ital>Drafting note, About this document</ital>
                    </internal.reference>
                    .
                  </paratext>
                </para>
                <para>
                  <paratext>
                    In addition to this general website privacy policy, it is important that organisations issue a short-form privacy policy or fair processing policy at the actual point when it collects data from an individual. Such a short-form notice would set out why data is being collected and processed for a particular purpose and perhaps refer to the contents of this website privacy policy for more details. See 
                    <link href="w-014-8428" style="ACTLinkPLCtoPLC">
                      <ital>Standard document, Short form online privacy notice (UK)</ital>
                    </link>
                     and 
                    <link href="w-039-4444" style="ACTLinkPLCtoPLC">
                      <ital>Complying with the UK GDPR's transparency requirements toolkit</ital>
                    </link>
                    .
                  </paratext>
                </para>
                <para>
                  <paratext>We have indicated throughout the document where we advise including internal hyperlinks by square brackets and italics (these are not all live in the document as published).</paratext>
                </para>
              </division>
            </drafting.note>
          </clause>
          <clause id="a448936" numbering="none">
            <para>
              <paratext>
                <bold>PRIVACY POLICY</bold>
              </paratext>
            </para>
          </clause>
          <clause id="a183820" numbering="none">
            <para>
              <paratext>
                This privacy policy sets out how [ORGANISATION] uses and protects your personal data. This privacy policy is provided in a layered format so you can click through to the specific areas set out below. Alternatively, you can [view the full version of the privacy policy here [LINK] 
                <bold>OR </bold>
                download a copy of the policy here: [LINK].]
              </paratext>
            </para>
          </clause>
          <clause id="a345171" numbering="none">
            <para>
              <paratext>
                <bold>1. IMPORTANT INFORMATION AND WHO WE ARE (</bold>
                <internal.reference refid="a819128">
                  <bold>
                    <ital>paragraph 1</ital>
                  </bold>
                </internal.reference>
                <bold>
                  <ital>)</ital>
                </bold>
              </paratext>
            </para>
          </clause>
          <clause id="a313821" numbering="none">
            <para>
              <paratext>
                <bold>2. TYPES OF PERSONAL DATA WE COLLECT ABOUT YOU (</bold>
                <internal.reference refid="a480831">
                  <bold>
                    <ital>paragraph 2</ital>
                  </bold>
                </internal.reference>
                <bold>)</bold>
              </paratext>
            </para>
          </clause>
          <clause id="a575864" numbering="none">
            <para>
              <paratext>
                <bold>3. HOW IS YOUR PERSONAL DATA COLLECTED? (</bold>
                <internal.reference refid="a524838">
                  <bold>
                    <ital>paragraph 3</ital>
                  </bold>
                </internal.reference>
                <bold>)</bold>
              </paratext>
            </para>
          </clause>
          <clause id="a919982" numbering="none">
            <para>
              <paratext>
                <bold>4. HOW WE USE YOUR PERSONAL DATA (</bold>
                <internal.reference refid="a179246">
                  <bold>
                    <ital>paragraph 4</ital>
                  </bold>
                </internal.reference>
                <bold>)</bold>
              </paratext>
            </para>
          </clause>
          <clause id="a469725" numbering="none">
            <para>
              <paratext>
                <bold>5. DISCLOSURES OF YOUR PERSONAL DATA (</bold>
                <internal.reference refid="a239061">
                  <bold>
                    <ital>paragraph 5</ital>
                  </bold>
                </internal.reference>
                <bold>) </bold>
              </paratext>
            </para>
          </clause>
          <clause id="a798662" numbering="none">
            <para>
              <paratext>
                <bold>6. INTERNATIONAL TRANSFERS (</bold>
                <internal.reference refid="a888527">
                  <bold>
                    <ital>paragraph 6</ital>
                  </bold>
                </internal.reference>
                <bold>) </bold>
              </paratext>
            </para>
          </clause>
          <clause id="a496559" numbering="none">
            <para>
              <paratext>
                <bold>7. DATA SECURITY (</bold>
                <internal.reference refid="a424553">
                  <bold>
                    <ital>paragraph 7</ital>
                  </bold>
                </internal.reference>
                <bold>)</bold>
              </paratext>
            </para>
          </clause>
          <clause id="a915856" numbering="none">
            <para>
              <paratext>
                <bold>8. DATA RETENTION (</bold>
                <internal.reference refid="a852989">
                  <bold>
                    <ital>paragraph 8</ital>
                  </bold>
                </internal.reference>
                <bold>)</bold>
              </paratext>
            </para>
          </clause>
          <clause id="a700940" numbering="none">
            <para>
              <paratext>
                <bold>9. YOUR LEGAL RIGHTS (</bold>
                <internal.reference refid="a152621">
                  <bold>
                    <ital>paragraph 9</ital>
                  </bold>
                </internal.reference>
                <bold>)</bold>
              </paratext>
            </para>
          </clause>
          <clause id="a292340" numbering="none">
            <para>
              <paratext>
                <bold>10. CONTACT DETAILS (</bold>
                <internal.reference refid="a682882">
                  <bold>
                    <ital>paragraph 10</ital>
                  </bold>
                </internal.reference>
                <bold>
                  <ital>)</ital>
                </bold>
              </paratext>
            </para>
          </clause>
          <clause id="a113757" numbering="none">
            <para>
              <paratext>
                <bold>
                  <ital>11. COMPLAINTS (</ital>
                </bold>
                <internal.reference refid="a194718">
                  <bold>
                    <ital>paragraph 11</ital>
                  </bold>
                </internal.reference>
                <bold>)</bold>
              </paratext>
            </para>
          </clause>
          <clause id="a341330" numbering="none">
            <para>
              <paratext>
                <bold>
                  <ital>12. CHANGES TO THE PRIVACY POLICY AND YOUR DUTY TO INFORM US OF CHANGES (</ital>
                </bold>
                <internal.reference refid="a475634">
                  <bold>
                    <ital>paragraph 12</ital>
                  </bold>
                </internal.reference>
                <bold>)</bold>
              </paratext>
            </para>
          </clause>
          <clause id="a876412" numbering="none">
            <para>
              <paratext>
                <bold>
                  <ital>13. THIRD PARTY LINKS (</ital>
                </bold>
                <internal.reference refid="a493778">
                  <bold>
                    <ital>paragraph 13</ital>
                  </bold>
                </internal.reference>
                <bold>)</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6" level="1">
                <para>
                  <paratext>The first section of the privacy policy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
                      Individuals are entitled to know the identity of the entity that will make decisions about how their data is used; this is the controller of the data. Organisations must ensure the privacy policy includes their full legal name and contact information as the controller of the data. Where the organisation is part of a multinational group, the details of the legal entity responsible for the website should be included in the privacy policy. Organisations that provide services or products in the UK but are based outside of the UK should provide information in respect of their UK-based representative (see 
                      <link href="w-025-9813" style="ACTLinkPLCtoPLC">
                        <ital>Practice note, Appointing a data protection representative (UK and EU)</ital>
                      </link>
                      ).
                    </paratext>
                  </para>
                </division>
                <division id="a887742" level="2">
                  <head align="left" preservecase="true">
                    <headtext>DPO</headtext>
                  </head>
                  <para>
                    <paratext>
                      Although some businesses will appoint a DPO voluntarily, there is only a requirement under the 
                      <link href="w-027-1020" style="ACTLinkPLCtoPLC">
                        <ital>UK GDPR</ital>
                      </link>
                       for a DPO to be designated if any of the following circumstances apply:
                    </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If the business is required to appoint a DPO under the UK GDPR then it should include details of how the DPO can be contacted in its privacy policy. For more information on DPO requirements under the UK GDPR, see 
                      <link href="w-010-3427" style="ACTLinkPLCtoPLC">
                        <ital>Practice note, Data protection officers (UK)</ital>
                      </link>
                      .
                    </paratext>
                  </para>
                </division>
                <division id="a925719" level="2">
                  <head align="left" preservecase="true">
                    <headtext>Changes to this privacy policy</headtext>
                  </head>
                  <para>
                    <paratext>The EDPB Transparency Guidelines state that controllers should adhere to the same principles when communicating the initial privacy policy and any subsequent material changes. This means ensuring that all material changes are communicated in a specific, targeted, obvious way. Although the EDPB has given some guidance on what it considers to be material and non-material, it appears that only changes like mis-spellings or grammatical errors would be considered non-material, so technically all other changes would need to be notified to the data subject. The EDPB has specified certain changes which must always be notified: change in processing purpose, change in identity of controller or change in how data subjects can exercise their rights.</paratext>
                  </para>
                  <para>
                    <paratext>It is not enough, in the EDPB's view, for a business to require an individual to regularly check a privacy policy for any changes or updates.</paratext>
                  </para>
                  <para>
                    <paratext>Compliance with these requirements may be difficult to implement in practice as there is a serious risk of information fatigue if frequent reminders, particularly of non-material changes, are sent to data subjects resulting in communications being ignored by recipients. The EDPB has given examples of how these changes could be communicated: email, hard copy or a pop-up on a webpage.</paratext>
                  </para>
                </division>
              </division>
            </drafting.note>
          </clause>
          <clause id="a644190" numbering="none">
            <para>
              <paratext>
                <bold>Privacy policy</bold>
              </paratext>
            </para>
          </clause>
          <clause id="a769702" numbering="none">
            <para>
              <paratext>
                This privacy policy gives you information about how [ORGANISATION] collects and uses your personal data through your use of this website, including any data you may provide when you [register with us 
                <bold>OR</bold>
                 sign up to our newsletter 
                <bold>OR</bold>
                 purchase a product or service 
                <bold>OR</bold>
                 take part in a competition 
                <bold>OR</bold>
                 [OTHER EXAMPLE]].
              </paratext>
            </para>
            <drafting.note id="a910155" jurisdiction="">
              <head align="left" preservecase="true">
                <headtext>Children's data</headtext>
              </head>
              <division id="a000007" level="1">
                <para>
                  <paratext>
                    Although this policy says that the website is not intended for children, the controller will need to consider whether the website is, in fact, likely to be accessed by children with personal data collected, in which case the controller will need to take the Children's Code into consideration. For more information, see 
                    <internal.reference refid="a924333">
                      <ital>Drafting note, Children's personal data</ital>
                    </internal.reference>
                     and 
                    <link href="w-039-8568" style="ACTLinkPLCtoPLC">
                      <ital>Practice note, Drafting child-friendly privacy notices (UK)</ital>
                    </link>
                    .
                  </paratext>
                </para>
              </division>
            </drafting.note>
          </clause>
          <clause id="a271689" numbering="none">
            <para>
              <paratext>This website is not intended for children and we do not knowingly collect data relating to children.</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policy).</paratext>
            </para>
          </clause>
          <clause id="a676010" numbering="none">
            <para>
              <paratext>[IF SEVERAL ENTITIES PART OF A GROUP:] [GROUP NAME] (Group) is made up of different legal entities, details of which can be found here: [LINK]. This privacy policy is issued on behalf of the Group so when we mention ["COMPANY"], "we", "us" or "our" in this privacy policy, we are referring to the relevant company in the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who is responsible for overseeing questions in relation to this privacy policy.] If you have any questions about this privacy policy, including any requests to exercise your legal rights (
                <internal.reference refid="a152621">
                  <ital>paragraph 9</ital>
                </internal.reference>
                <ital>)</ital>
                , please contact the [DPO 
                <bold>OR</bold>
                 us] using the information set out in the contact details section (
                <internal.reference refid="a682882">
                  <ital>paragraph 10</ital>
                </internal.reference>
                ).
              </paratext>
            </para>
          </clause>
          <clause id="a480831">
            <identifier>2.</identifier>
            <head align="left" preservecase="true">
              <headtext>The types of personal data we collect about you</headtext>
            </head>
            <drafting.note id="a401620" jurisdiction="">
              <head align="left" preservecase="true">
                <headtext>The data we collect about you</headtext>
              </head>
              <division id="a000008" level="1">
                <para>
                  <paratext>
                    The 
                    <link href="w-027-1020" style="ACTLinkPLCtoPLC">
                      <ital>UK GDPR</ital>
                    </link>
                     defines personal data as "any information relating to an identified or identifiable natural person (data subject)" (
                    <ital>Article 4(1)</ital>
                    ). The customer of the business is the data subject in relation to this privacy policy.
                  </paratext>
                </para>
                <para>
                  <paratext>
                    Organisations should include a broad definition of personal data in their privacy policies (though it is important to only specify data you will actually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policy should also state that the business intends to use that non-personal or aggregated data for certain specified purposes. For more information, see 
                    <link href="w-029-2305" style="ACTLinkPLCtoPLC">
                      <ital>Practice note, Anonymisation and pseudonymisation under UK GDPR and DPA 2018</ital>
                    </link>
                    .
                  </paratext>
                </para>
                <para>
                  <paratext>
                    The starting point for this section of the privacy policy is for organisations to create categories or buckets of personal data and state exactly what each bucket contains. 
                    <bold>The categories of data included in this privacy policy provide examples only and are not intended to be an exhaustive list of all the categories of personal data that an organisation may collect. Organisations must therefore tailor the categories of personal data listed to reflect their actual data collection practices (based on the results of their data protection audit). The ultimate goal is to map those categories of data with the appropriate description of the purpose for processing the data and then with the relevant lawful processing ground.</bold>
                  </paratext>
                </para>
              </division>
            </drafting.note>
          </clause>
          <clause id="a738838" numbering="none">
            <para>
              <paratext>Personal data means any information about an individual from which that person can be identified.</paratext>
            </para>
          </clause>
          <clause id="a562087" numbering="none">
            <para>
              <paratext>We may collect, use, store and transfer different kinds of personal data about you which we have grouped together as follows:</paratext>
            </para>
            <list type="bulleted">
              <list.item>
                <para>
                  <paratext>
                    <defn.term>Identity Data</defn.term>
                     includes [first name, last name, any previous names, username or similar identifier, marital status, title, date of birth and gender].
                  </paratext>
                </para>
              </list.item>
              <list.item>
                <para>
                  <paratext>
                    <defn.term>Contact Data</defn.term>
                     includes [billing address, delivery address, email address and telephone numbers].
                  </paratext>
                </para>
              </list.item>
              <list.item>
                <para>
                  <paratext>
                    <defn.term>Financial Data</defn.term>
                     includes [bank account and payment card details].
                  </paratext>
                </para>
              </list.item>
              <list.item>
                <para>
                  <paratext>
                    <defn.term>Transaction Data</defn.term>
                     includes [details about payments to and from you and other details of products and services you have purchased from us].
                  </paratext>
                </para>
              </list.item>
              <list.item>
                <para>
                  <paratext>
                    <defn.term>Technical Data</defn.term>
                     includes [internet protocol (IP) address, your login data, browser type and version, time zone setting and location, browser plug-in types and versions, operating system and platform, device ID and other technology on the devices you use to access this website].
                  </paratext>
                </para>
              </list.item>
              <list.item>
                <para>
                  <paratext>
                    <defn.term>Profile Data</defn.term>
                    <bold> </bold>
                    includes [your username and password, purchases or orders made by you, your interests, preferences, feedback and survey responses].
                  </paratext>
                </para>
              </list.item>
              <list.item>
                <para>
                  <paratext>
                    <defn.term>Usage Data</defn.term>
                     includes [information about how you interact with and use our website, products and services].
                  </paratext>
                </para>
              </list.item>
              <list.item>
                <para>
                  <paratext>
                    <defn.term>Marketing and Communications Data</defn.term>
                    <bold> </bold>
                    includes [your preferences in receiving marketing from us and our third parties and your communication preferences].
                  </paratext>
                </para>
              </list.item>
            </list>
            <para>
              <paratext>
                We also collect, use and share a
                <defn.term>ggregated data</defn.term>
                 such as statistical or demographic data which is not personal data as it does not directly (or indirectly) reveal your identity. For example, we may aggregate individuals' Usage Data to calculate the percentage of users accessing a specific website feature in order to analyse general trends in how users are interacting with our website to help improve the website and our service offering.
              </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09" level="1">
                <para>
                  <paratext>This section should disclose how the website collects data from or about its users. The privacy policy should also include details of any personal data collected from third parties.</paratext>
                </para>
                <para>
                  <paratext>Website visitors will be aware of some obvious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policy or related cookie policy.</paratext>
                </para>
                <para>
                  <paratext>
                    Each website should have detailed information on the cookies it uses and usually this is set out as a separate cookie policy on the website. See 
                    <link href="w-019-8333" style="ACTLinkPLCtoPLC">
                      <ital>Standard document, Cookie policy (UK)</ital>
                    </link>
                     for further details.
                  </paratext>
                </para>
                <para>
                  <paratext>
                    Additional notification requirements apply to personal data collected from third parties (
                    <ital>Article 14(1), </ital>
                    <link href="w-027-1020" style="ACTLinkPLCtoPLC">
                      <ital>UK GDPR</ital>
                    </link>
                    ). These mirror the notification requirements in respect of data collected directly from the data subject (see 
                    <internal.reference refid="a257582">
                      <ital>Drafting note, Provision of information to data subjects</ital>
                    </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policy proposes some typical categories of data captured by website operators. However, this privacy policy should be tailored to ensure that it refers to all sources of personal data other than the individuals themselves. Where possible, the policy should include the information set out in the two bullet points above. If this is not possible in the privacy policy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policy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EDPB Transparency Guidelines have clarified what needs to be included with respect to sources by recommending that privacy policies should disclose the type of organisation or industry sector from which the data came, as well as the nature of the source (that is, whether it is from a public or private source). The EDPB guidelines state that the "specific" source should be provided "unless it is not possible to do so". They further clarify that businesses cannot choose not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until a business is able to identify all individual sources, it may be prudent to take a risk-based approach and at least list categories of all sources.</paratext>
                </para>
                <para>
                  <paratext>The ICO also makes clear that people should be told when personal data is being obtained from publicly accessible sources, unless an exception or exemption applies and that organisations should be very clear with data subjects about any unexpected or intrusive uses of personal data.</paratext>
                </para>
                <para>
                  <paratext>Separate to the above requirements, businesses should check that the third party providing them with personal data has obtained any necessary consents from a data subject to disclose their data or notified data subjects of such a transfer and advised them of the purpose for which the business plans to use the data.</paratext>
                </para>
              </division>
            </drafting.note>
          </clause>
          <clause id="a653340" numbering="none">
            <para>
              <paratext>We use different methods to collect data from and about you including through:</paratext>
            </para>
            <list type="bulleted">
              <list.item>
                <para>
                  <paratext>
                    <bold>Your interactions with us.</bold>
                     You may give us your personal data by filling in online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feedback or contact us.</paratext>
                    </para>
                  </list.item>
                </list>
              </list.item>
              <list.item>
                <para>
                  <paratext>
                    <bold>Automated technologies or interactions.</bold>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will receive personal data about you from various third parties [and public sources] as set out below [DELETE OR ADD TO THIS LIST AS APPROPRIATE]:
                  </paratext>
                </para>
              </list.item>
              <list.item>
                <para>
                  <paratext>Technical Data is collected from the following parties:</paratext>
                </para>
                <list type="bulleted">
                  <list.item>
                    <para>
                      <paratext>analytics providers [such as Google based outside the UK];</paratext>
                    </para>
                  </list.item>
                  <list.item>
                    <para>
                      <paratext>
                        advertising networks [such as [NAME] based [inside 
                        <bold>OR</bold>
                         outside] the UK]; and
                      </paratext>
                    </para>
                  </list.item>
                  <list.item>
                    <para>
                      <paratext>
                        search information providers [such as [NAME] based [inside 
                        <bold>OR</bold>
                         outside] the UK].
                      </paratext>
                    </para>
                  </list.item>
                </list>
              </list.item>
              <list.item>
                <para>
                  <paratext>
                    Contact, Financial and Transaction Data is collected from providers of technical, payment and delivery services [such as [NAME] based [inside 
                    <bold>OR</bold>
                     outside] the UK].
                  </paratext>
                </para>
              </list.item>
              <list.item>
                <para>
                  <paratext>
                    Identity and Contact Data is collected from data brokers or aggregators [such as [NAME] based [inside 
                    <bold>OR</bold>
                     outside] the UK].
                  </paratext>
                </para>
              </list.item>
              <list.item>
                <para>
                  <paratext>Identity and Contact Data is collected from publicly available sources [such as Companies House and the Electoral Register based inside the UK].</paratext>
                </para>
              </list.item>
              <list.item>
                <para>
                  <paratext>[ANY OTHER WAYS YOU COLLECT PERSONAL DATA].</paratext>
                </para>
              </list.item>
            </list>
          </clause>
          <clause id="a179246">
            <identifier>4.</identifier>
            <head align="left" preservecase="true">
              <headtext>How we use your personal data</headtext>
            </head>
            <drafting.note id="a628560" jurisdiction="">
              <head align="left" preservecase="true">
                <headtext>How we use your personal data</headtext>
              </head>
              <division id="a000010" level="1">
                <para>
                  <paratext>The privacy policy should disclose how an organisation plans to use the personal data it collects by describing the specific use purposes, such as order fulfilment, billing, delivery and direct marketing. This is the most important section of the privacy policy in terms of compliance with the transparency obligations in Articles 13 and 14 of the UK GDPR. Businesses should also clearly identify any non-obvious personal data uses, for example, data used for profiling, automated decision-making and direct marketing purposes.</paratext>
                </para>
                <para>
                  <paratext>
                    <bold>The suggested uses of personal data included in this privacy policy are examples and are not intended to be an exhaustive list of all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  </bold>
                  </paratext>
                </para>
                <division id="a645610" level="2">
                  <head align="left" preservecase="true">
                    <headtext>Lawful basis for processing</headtext>
                  </head>
                  <para>
                    <paratext>
                      The 
                      <link href="w-027-1020" style="ACTLinkPLCtoPLC">
                        <ital>UK GDPR</ital>
                      </link>
                       requires a controller to justify the processing of personal data before it will be considered lawful under Article 5(1)(a). For more information, see 
                      <link anchor="a422270" href="w-013-3757" style="ACTLinkPLCtoPLC">
                        <ital>Practice note, Overview of UK GDPR: Lawful processing</ital>
                      </link>
                      .
                    </paratext>
                  </para>
                  <para>
                    <paratext>An organisation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policy.
                        </paratext>
                      </para>
                    </list.item>
                  </list>
                </division>
                <division id="a671417" level="2">
                  <head align="left" preservecase="true">
                    <headtext>Consent</headtext>
                  </head>
                  <para>
                    <paratext>
                      In most cases, online businesses will not need consent to process personal information other than for processing special categories of data (see 
                      <link anchor="a472063" href="w-013-3757" style="ACTLinkPLCtoPLC">
                        <ital>Practice note, Overview of UK GDPR: Special categories of personal data</ital>
                      </link>
                      <ital>)</ital>
                       or for electronic direct marketing (via email and text message), particularly where the marketing relates to third-party products and services (see 
                      <link href="w-014-7457" style="ACTLinkPLCtoPLC">
                        <ital>Practice note, Direct marketing and data protection: consent and preference services (UK)</ital>
                      </link>
                       for further details).
                    </paratext>
                  </para>
                  <para>
                    <paratext>
                      Under the 
                      <link href="w-027-1020" style="ACTLinkPLCtoPLC">
                        <ital>UK GDPR</ital>
                      </link>
                      ,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Other than in limited circumstances, businesses cannot change the legal basis relied on once it has notified an individual of the legal basis it is actually relying on to process certain data.
                    </paratext>
                  </para>
                  <para>
                    <paratext>
                      The EDPB guidance on consent indicates that most organisations may find it difficult to rely on consent and difficulties will arise if a data subject withdraws consent, so a different lawful basis should be found for processing data if at all possible (
                      <link href="w-025-5311" style="ACTLinkPLCtoPLC">
                        <ital>EDPB: Guidelines 05/2020 on consent under Regulation 2016/679</ital>
                      </link>
                      ). For further information on consent, see 
                      <link anchor="a451224" href="w-013-3757" style="ACTLinkPLCtoPLC">
                        <ital>Practice notes, Overview of UK GDPR: Consent rules</ital>
                      </link>
                       and 
                      <link href="w-014-7952" style="ACTLinkPLCtoPLC">
                        <ital>Consent under the UK GDPR</ital>
                      </link>
                      <ital>. </ital>
                    </paratext>
                  </para>
                </division>
                <division id="a556441" level="2">
                  <head align="left" preservecase="true">
                    <headtext>Compliance with a legal obligation</headtext>
                  </head>
                  <para>
                    <paratext>
                      Article 6(3) of the UK GDPR requires that the legal obligation must be laid down in UK law. This is further qualified within recital 41 which states that the obligation does not just have to be a statutory obligation but can also be a legislative measure. The ICO further clarifies that this also includes common law obligations. Your overall purpose must be to comply with a legal obligation which has a clear basis in statute or common law. In accordance with recital 41, a legal basis or legislative measure should be clear and precise, and its application should be foreseeable to the individuals who are subject to it.  Additionally, the ICO clarifies that compliance with regulatory requirements also qualifies as a legal obligation providing 'there is a statutory basis underpinning the regulatory regime and which requires regulated organisations to comply' (see 
                      <link href="https://ico.org.uk/for-organisations/uk-gdpr-guidance-and-resources/" style="ACTLinkURL">
                        <ital>ICO: UK GDPR guidance and resources</ital>
                      </link>
                       at 
                      <link href="https://ico.org.uk/for-organisations/uk-gdpr-guidance-and-resources/lawful-basis/a-guide-to-lawful-basis/legal-obligation/" style="ACTLinkURL">
                        <ital>Lawful basis for processing, Legal obligation</ital>
                      </link>
                      ).
                    </paratext>
                  </para>
                  <para>
                    <paratext>The ICO advises that organisations must identify the relevant legal obligation either by reference to the specific legal provision or statute for example, or by signposting applicable advice or guidance such as a government website, code of conduct or industry guidance.  Any processing must be a reasonable and proportionate way of achieving compliance. You must be transparent about your purposes and the lawful basis for processing in your privacy policy.</paratext>
                  </para>
                  <para>
                    <paratext>Bearing in mind the requirements under Article 12(1) of the UK GDPR for the information to be 'concise, transparent, intelligible…using clear and plain language' in particular, when the information is specifically for a child, the extent of the information you include about legal obligations within your privacy policy will sometimes depend on the obligation in question and what an individual can reasonably be expected to understand. It may also depend on whether an organisation is subject to routine compliance with a legal obligation or set of legal obligations and the level of intrusion.</paratext>
                  </para>
                  <para>
                    <paratext>Some organisations subject to legal obligations will provide information about legal purposes which are widely understood without necessarily referencing specific legislation such as information about anti-money laundering, fraud or other crime detection and prevention. Individuals could reasonably be expected to understand these concepts as legal obligations based on the fair processing information provided.</paratext>
                  </para>
                  <para>
                    <paratext>
                      Other legal obligations may be less obvious but also potentially, more intrusive. For example, telecoms providers are required to comply with the Investigatory Powers Act 2016 (IPA 2016) regarding the interception and retention of communications data for law enforcement purposes (see 
                      <link href="w-007-0585" style="ACTLinkPLCtoPLC">
                        <ital>Practice note, Investigatory Powers Act 2016: Overview</ital>
                      </link>
                      ). Individuals may not be aware of this statute nor what the implications will be for their data.
                    </paratext>
                  </para>
                  <para>
                    <paratext>Organisations such as telecoms providers should, therefore, consider how to satisfy the fair processing requirements by providing reasonably sufficient information within their privacy policies to explain what compliance with a legal obligation such as the IPA 2016 may mean in practice for the communications provider and the individual, for example, the level of intrusion, the data in scope, the compliance requirements and how the provider must comply with these requirements.</paratext>
                  </para>
                  <para>
                    <paratext>It is for organisations to decide on the extent of the information provided to satisfy the fair processing requirements when referring to their legal obligations. In some cases, there will be industry or government guidance and codes of practice, for example in the public sector.</paratext>
                  </para>
                </division>
                <division id="a868752" level="2">
                  <head align="left" preservecase="true">
                    <headtext>Matching purposes and categories of personal data with lawful basis</headtext>
                  </head>
                  <para>
                    <paratext>
                      The EDPB Transparency Guidelines state that privacy policies should match 
                      <bold>each</bold>
                      <bold>individual processing activity with a lawful basis</bold>
                      . In particular, the Guidelines state: "The information should be concrete and definitive; it should not be phrased in abstract or ambivalent terms or leave room for different interpretations. In particular the purposes of, and legal basis for, processing the personal data should be clear" (
                      <ital>paragraph 12</ital>
                      ).
                    </paratext>
                  </para>
                  <para>
                    <paratext>This strict approach in the EDPB Transparency Guidelines has been followed by enforcement decisions of the data protection regulators in Ireland and the UK.</paratext>
                  </para>
                  <para>
                    <paratext>Following the ICO's enforcement action against Tik Tok (and the Irish DPC's decision concerning WhatsApp), it is clear that the regulators expect greater clarity and detail about the applicable legal bases (and related processing activities) to be specified in the privacy policy than is typically found in most current website privacy policies.</paratext>
                  </para>
                  <para>
                    <paratext>In these cases, the ICO and the Irish DPC/EDPB stated that privacy policies must demonstrate a 'clear link' between a specified category or categories of personal data to the purposes of the specified processing operation / set of operations and to the legal basis being relied upon to support that particular processing operation / set of operations.</paratext>
                  </para>
                  <para>
                    <paratext>The individual reading the privacy policy must be able to clearly identify the legal basis relied on for each individual processing operation. It will not therefore be sufficient to simply list all the legal bases being relied on by the controller in a separate, standalone section without having a clear link to the relevant categories of personal data and the specific processing activities in each case. The Irish DPC held that if a controller states that there could be multiple legal bases for undertaking a particular processing activity, the privacy policy must be sufficiently granular to allow the individual to identify when a particular legal basis will be relied on.   Controllers must also take care not to present conflicting information to the user concerning which legal basis is being relied upon in relation to the processing of certain categories of data.</paratext>
                  </para>
                  <para>
                    <paratext>Many businesses may find this onerous and difficult to comply with, especially where the data processing is complex, involving several processing activities and parties. Individuals may also find this level of detail too complex and unhelpful. Nevertheless, the table in section 4 of the privacy policy is a good starting point to enable controllers to provide the level of specificity required, however further information will need to be included in the table to ensure full compliance with the matching requirement discussed in this section.</paratext>
                  </para>
                  <para>
                    <paratext>Having created the categories or buckets of personal data and stated exactly what each bucket contains, controllers should then map those buckets within the table against the relevant lawful processing ground or grounds, together with an explanation of the purpose(s) for processing such data. The description of the legal basis should be expanded upon where necessary to link to the specific categories of data in the middle column and examples could be used in the third column to show this. Where there is more than one legal basis being relied on for a particular processing activity, the individual must be able to easily identify how each legal basis is being relied upon to support the particular processing operation.</paratext>
                  </para>
                  <para>
                    <paratext>
                      Although the 
                      <link href="w-027-1020" style="ACTLinkPLCtoPLC">
                        <ital>UK GDPR</ital>
                      </link>
                       and ICO guidance indicate that more than one lawful basis can be relied on to process data, businesses must identify the specific legal basis being relied on and cannot rely on either one basis applying or another if one of those bases is consent. For example, if a business collects consent to fulfil an order, it cannot automatically rely on performance of contract for the same activity when a data subject withdraws consent to the use of their data for that purpose.
                    </paratext>
                  </para>
                  <para>
                    <paratext>This privacy policy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policy and make their own determination as to whether the lawful basis proposed in this privacy policy applies to their specific business activities.</paratext>
                  </para>
                  <para>
                    <paratext>Finally, businesses may wish to add additional columns in the table to identify individual sources or recipients.</paratext>
                  </para>
                  <para>
                    <paratext>
                      For more information on lawful basis under the UK GDPR, see 
                      <link anchor="a422270" href="w-013-3757" style="ACTLinkPLCtoPLC">
                        <ital>Practice note, Overview of UK GDPR: Lawful processing</ital>
                      </link>
                      .
                    </paratext>
                  </para>
                </division>
                <division id="a225586" level="2">
                  <head align="left" preservecase="true">
                    <headtext>Direct marketing</headtext>
                  </head>
                  <para>
                    <paratext>
                      Organisations will need to identify if personal data, such as name and email address, is collected and processed for direct marketing purposes as specific rules apply. In particular, the 
                      <link href="w-027-1020" style="ACTLinkPLCtoPLC">
                        <ital>UK GDPR</ital>
                      </link>
                       will apply to the processing of personal data (such as the collection) and if businesses intend to send electronic direct marketing (such as email and text) prior consent will be required unless soft opt-in applies as a result of the 
                      <link href="1-507-2637" style="ACTLinkPLCtoPLC">
                        <ital>Privacy and Electronic Communications (EC Directive) Regulations 2003 (SI 2003/2426)</ital>
                      </link>
                       (as amended) (PECR).
                    </paratext>
                  </para>
                  <para>
                    <paratext>
                      A short-form privacy notice, giving details of the proposed marketing, and any third parties the data is shared with, should be provided at the time data is collected from an individual for marketing purposes (see 
                      <link anchor="a908622" href="w-013-3757" style="ACTLinkPLCtoPLC">
                        <ital>Practice note, Overview of UK GDPR: First data protection principle: lawfulness, fairness and transparency</ital>
                      </link>
                       and 
                      <link href="w-014-8428" style="ACTLinkPLCtoPLC">
                        <ital>Standard document, Short form online privacy notice (UK)</ital>
                      </link>
                      ). This will typically take the form of a statement describing the nature and intended method(s) of directing marketing with an opt-in box at the end of it (in circumstances where the controller is relying on consent as the lawful basis in Article 6 of the UK GDPR for the direct marketing) or an opt-out box (if relying on legitimate interests). See also 
                      <link href="w-014-8218" style="ACTLinkPLCtoPLC">
                        <ital>Standard clauses, Consents to receive unsolicited direct marketing communications (UK GDPR, DPA 2018 and PECR)</ital>
                      </link>
                      .
                    </paratext>
                  </para>
                  <para>
                    <paratext>
                      This privacy policy refers (at 
                      <internal.reference refid="a602347">
                        <ital>DIRECT MARKETING</ital>
                      </internal.reference>
                      ) to this prior data collection point by referencing the fact that the individual will have been asked at that data capture point (e.g. on registration) to indicate their preferences for receiving direct marketing communications from the controller via the relevant stated channels (email, telephone, post etc).
                    </paratext>
                  </para>
                  <para>
                    <paratext>
                      This privacy policy also envisages that the legitimate interests lawful basis may be relied on with respect to carrying out direct marketing activities (see 
                      <link anchor="a451196" href="w-013-3757" style="ACTLinkPLCtoPLC">
                        <ital>Practice note, Overview of UK GDPR: Legitimate interests condition</ital>
                      </link>
                       and 
                      <link href="w-037-4611" style="ACTLinkPLCtoPLC">
                        <ital>Checklist, Data protection legitimate interests assessment (UK): checklist</ital>
                      </link>
                      ). Recital 47 to the UK GDPR acknowledges that direct marketing can be conducted on the basis of legitimate interests (see 
                      <link anchor="a126867" href="w-013-3757" style="ACTLinkPLCtoPLC">
                        <ital>Practice note, Overview of UK GDPR: Direct marketing and E-Privacy Directive: consent under PECR</ital>
                      </link>
                      ). Direct marketing by telephone and post in particular can generally be carried out on the basis of legitimate interests. However, legitimate interests has its limitations and, in the case of email and text marketing, unless the soft opt-in exemption in PECR applies to allow the controller to carry out email and text marketing lawfully under PECR without consent (and therefore on the basis of legitimate interests in the UK GDPR) consent will also be needed under PECR for conducting such electronic marketing (and consent must therefore be the corresponding lawful basis for this direct marketing activity under the UK GDPR). Prior consent will also be required before data can be passed to third parties for their direct marketing purposes (this consent requirement in PECR only applies to email, text and other forms of electronic marketing).
                    </paratext>
                  </para>
                  <para>
                    <paratext>For more information see:</paratext>
                  </para>
                  <list type="bulleted">
                    <list.item>
                      <para>
                        <paratext>
                          <link href="w-037-5967" style="ACTLinkPLCtoPLC">
                            <ital>Practice note, Direct marketing and data protection (UK)</ital>
                          </link>
                          .
                        </paratext>
                      </para>
                    </list.item>
                    <list.item>
                      <para>
                        <paratext>
                          <link href="w-014-7457" style="ACTLinkPLCtoPLC">
                            <ital>Practice note, Direct marketing and data protection: consent and preference services (UK)</ital>
                          </link>
                          .
                        </paratext>
                      </para>
                    </list.item>
                    <list.item>
                      <para>
                        <paratext>
                          <link href="w-014-7952" style="ACTLinkPLCtoPLC">
                            <ital>Practice note, Consent under the UK GDPR</ital>
                          </link>
                          .
                        </paratext>
                      </para>
                    </list.item>
                    <list.item>
                      <para>
                        <paratext>
                          <link href="w-014-8218" style="ACTLinkPLCtoPLC">
                            <ital>Standard clauses, Consents to receive unsolicited direct marketing communications (UK GDPR, DPA 2018 and PECR)</ital>
                          </link>
                          .
                        </paratext>
                      </para>
                    </list.item>
                    <list.item>
                      <para>
                        <paratext>
                          <link href="w-037-4611" style="ACTLinkPLCtoPLC">
                            <ital>Checklist, Data protection legitimate interests assessment (UK): checklist</ital>
                          </link>
                          .
                        </paratext>
                      </para>
                    </list.item>
                  </list>
                  <para>
                    <paratext>
                      For the wider rules surrounding direct marketing, see 
                      <link href="w-011-4000" style="ACTLinkPLCtoPLC">
                        <ital>Practice note, Direct marketing: advertising, consumer protection and e-commerce rules.</ital>
                      </link>
                    </paratext>
                  </para>
                  <para>
                    <paratext>
                      For information on profiling and marketing, see 
                      <internal.reference refid="a474546">
                        <ital>Drafting note, Automated decision-making and profiling</ital>
                      </internal.reference>
                      .
                    </paratext>
                  </para>
                </division>
                <division id="a491697" level="2">
                  <head align="left" preservecase="true">
                    <headtext>Cookies</headtext>
                  </head>
                  <para>
                    <paratext>
                      <link href="5-508-3605" style="ACTLinkPLCtoPLC">
                        <ital>Regulation 6(1)</ital>
                      </link>
                       of the PECR requires website operators and other online providers that set cookies on their users' equipment to provide internet users with clear and comprehensive information about the purposes for which the cookie is stored and accessed.
                    </paratext>
                  </para>
                  <para>
                    <paratext>
                      The rules on cookies were under review in the EU's draft ePR, which was not finalised by 25 May 2018 to coincide with the GDPR (see 
                      <link href="w-007-8182" style="ACTLinkPLCtoPLC">
                        <ital>E-Privacy Regulation Legislation tracker</ital>
                      </link>
                      ). The European Work Programme for 2025 lists that it intends to withdraw the proposed e-Privacy Regulation (see 
                      <link href="w-045-8243" style="ACTLinkPLCtoPLC">
                        <ital>Legal updates, European Commission Adopts 2025 Work Programme</ital>
                      </link>
                       and 
                      <link href="w-045-8256" style="ACTLinkPLCtoPLC">
                        <ital>European Commission 2025 Work Programme: data protection aspects</ital>
                      </link>
                      ).
                    </paratext>
                  </para>
                  <para>
                    <paratext>
                      In any event, every website should provide a link to a cookie policy and the privacy policy should make reference to this cookie policy. See 
                      <link href="w-019-8333" style="ACTLinkPLCtoPLC">
                        <ital>Standard document, Cookie policy (UK)</ital>
                      </link>
                       for a template cookie policy. For more general information on cookies, see 
                      <link href="w-016-7485" style="ACTLinkPLCtoPLC">
                        <ital>Practice note, Cookies: impact of UK GDPR and DPA 2018</ital>
                      </link>
                      .
                    </paratext>
                  </para>
                </division>
                <division id="a474546" level="2">
                  <head align="left" preservecase="true">
                    <headtext>Automated decision-making and profiling</headtext>
                  </head>
                  <para>
                    <paratext>
                      The 
                      <link href="w-027-1020" style="ACTLinkPLCtoPLC">
                        <ital>UK GDPR</ital>
                      </link>
                       defines profiling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These include:</paratext>
                  </para>
                  <list type="bulleted">
                    <list.item>
                      <para>
                        <paratext>Ensuring processing is fair and transparent by providing privacy or fair processing policies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item>
                      <para>
                        <paratext>Allowing individuals to exercise their right to object to the profiling (where the profiling is carried out by the controller on the basis of the legitimate interests lawful basis).</paratext>
                      </para>
                    </list.item>
                  </list>
                  <para>
                    <paratext>
                      This privacy policy does 
                      <bold>not include any reference to processing data as a result of automated decision-making or profiling other than profiling carried out as part of targeted marketing of a company's own products or services to its own customers.</bold>
                       For all other cases, further detailed information regarding the specific type of processing will need to be provided in this privacy policy and an appropriate fair processing policy in case those activities are undertaken. For further information, see 
                      <link href="w-014-3599" style="ACTLinkPLCtoPLC">
                        <ital>Practice notes, UK GDPR and DPA 2018: profiling and automated decision-making</ital>
                      </link>
                      .
                    </paratext>
                  </para>
                </division>
              </division>
            </drafting.note>
          </clause>
          <clause id="a964261" numbering="none">
            <head align="left" preservecase="true">
              <headtext>Legal basis</headtext>
            </head>
          </clause>
          <clause id="a573645" numbering="none">
            <para>
              <paratext>The law requires us to have a legal basis for collecting and using your personal data. We rely on one or more of the following legal bases:</paratext>
            </para>
            <list type="bulleted">
              <list.item>
                <para>
                  <paratext>
                    <bold>Performance of a contract with you:</bold>
                     Where we need to perform the contract we are about to enter into or have entered into with you.
                  </paratext>
                </para>
              </list.item>
              <list.item>
                <para>
                  <paratext>
                    <bold>Legitimate interests: </bold>
                    We may use your personal data where it is necessary to conduct our business and pursue our legitimate interests, for example to prevent fraud and enable us to give you the best and most secure customer experience. We make sure we consider and balance any potential impact on you and your rights (both positive and negative) before we process your personal data for our legitimate interests. We do not use your personal data for activities where our interests are overridden by the impact on you (unless we have your consent or are otherwise required or permitted to by law).
                  </paratext>
                </para>
              </list.item>
              <list.item>
                <para>
                  <paratext>
                    <bold>Legal obligation: </bold>
                    We may use your personal data where it is necessary for compliance with a legal obligation that we are subject to. We will identify the relevant legal obligation when we rely on this legal basis.
                  </paratext>
                </para>
              </list.item>
              <list.item>
                <para>
                  <paratext>
                    <bold>Consent: </bold>
                    We rely on consent only where we have obtained your active agreement to use your personal data for a specified purpose, for example if you subscribe to an email newsletter.
                  </paratext>
                </para>
              </list.item>
            </list>
          </clause>
          <clause id="a705127" numbering="none">
            <head align="left" preservecase="true">
              <headtext>Purposes for which we will use your personal data</headtext>
            </head>
          </clause>
          <clause id="a590771" numbering="none">
            <para>
              <paratext>We have set out below, in a table format, a description of all the ways we plan to use the various categories of your personal data, and which of the legal bases we rely on to do so. We have also identified what our legitimate interests are where appropriate.</paratext>
            </para>
          </clause>
          <clause id="a638713" numbering="none">
            <para>
              <paratext>[AMEND, DELETE OR ADD TO THIS TABLE AS APPROPRIATE]</paratext>
            </para>
            <para>
              <paratext>
                <table frame="all" pgwide="1">
                  <tgroup cols="3">
                    <colspec colname="1" colnum="1" colwidth="33"/>
                    <colspec colname="2" colnum="2" colwidth="25"/>
                    <colspec colname="3" colnum="3" colwidth="40"/>
                    <tbody>
                      <row>
                        <entry valign="top">
                          <para align="left">
                            <paratext>
                              <bold>Purpose/Use</bold>
                            </paratext>
                          </para>
                        </entry>
                        <entry valign="top">
                          <para align="left">
                            <paratext>
                              <bold>Type of data</bold>
                            </paratext>
                          </para>
                        </entry>
                        <entry valign="top">
                          <para align="left">
                            <paratext>
                              <bold>Legal basis [and retention period]</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manage our relationship with you which will include:</paratext>
                          </para>
                          <para align="left">
                            <paratext>(a) Notifying you about changes to our terms or privacy policy</paratext>
                          </para>
                          <para align="left">
                            <paratext>(b) Dealing with your requests, complaints and queries</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manage our relationship with you</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deliver relevant website content and online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use data analytics to improve our website, products/services, customer relationships and experiences and to measure the effectiveness of our communications and marketing</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send you relevant marketing communications and make personalised suggestions and recommendations to you about goods or services that may be of interest to you based on your Profile Data</paratext>
                          </para>
                        </entry>
                        <entry valign="top">
                          <para align="left">
                            <paratext>(a) Identity</paratext>
                          </para>
                          <para align="left">
                            <paratext>(b) Contact</paratext>
                          </para>
                          <para align="left">
                            <paratext>(c) Technical</paratext>
                          </para>
                          <para align="left">
                            <paratext>(d) Usage</paratext>
                          </para>
                          <para align="left">
                            <paratext>(e) Profile</paratext>
                          </para>
                          <para align="left">
                            <paratext>(f) Marketing and Communications</paratext>
                          </para>
                        </entry>
                        <entry valign="top">
                          <para align="left">
                            <paratext>
                              Necessary for our legitimate interests (to carry out direct marketing, develop our products/services and grow our business) 
                              <bold>OR</bold>
                               Consent, having obtained your prior consent to receiving direct marketing communications
                            </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carry out market research through your voluntary participation in surveys</paratext>
                          </para>
                        </entry>
                        <entry valign="top">
                          <para>
                            <paratext/>
                          </para>
                        </entry>
                        <entry valign="top">
                          <para align="left">
                            <paratext>Necessary for our legitimate interests (to study how customers use our products/services and to help us improve and develop our products and services).</paratext>
                          </para>
                          <para align="left">
                            <paratext>[EXPAND ON THE ABOVE AND LINK LEGAL BASIS TO THE SPECIFIC PROCESSING ACTIVITY, USING EXAMPLES WHERE NECESSARY]</paratext>
                          </para>
                          <para align="left">
                            <paratext>[We will retain this data for [state retention period]]</paratext>
                          </para>
                        </entry>
                      </row>
                    </tbody>
                  </tgroup>
                </table>
              </paratext>
            </para>
          </clause>
          <clause id="a602347" numbering="none">
            <head align="left" preservecase="true">
              <headtext>Direct marketing</headtext>
            </head>
          </clause>
          <clause id="a724870" numbering="none">
            <para>
              <paratext>
                During the [registration] process on our website when your personal data is collected, you will be asked to indicate your preferences for receiving direct marketing communications from [ORGANISATION] via [EMAIL, SMS, TELEPHONE, POST] 
                <bold>OR</bold>
                 You will receive marketing communications from us if you have requested information from us or purchased goods or services from us and you have not opted out of receiving the marketing.
              </paratext>
            </para>
          </clause>
          <clause id="a295679" numbering="none">
            <para>
              <paratext>We may also analyse your Identity, Contact, Technical, Usage and Profile Data to form a view which products, services and offers may be of interest to you so that we can then send you relevant marketing communications.</paratext>
            </para>
          </clause>
          <clause id="a539561" numbering="none">
            <head align="left" preservecase="true">
              <headtext>Third-party marketing</headtext>
            </head>
            <para>
              <paratext>We will get your express consent before we share your personal data with any third party for their own direct marketing purposes.</paratext>
            </para>
          </clause>
          <clause id="a879432" numbering="none">
            <head align="left" preservecase="true">
              <headtext>Opting out of marketing</headtext>
            </head>
          </clause>
          <clause id="a603355" numbering="none">
            <para>
              <paratext>
                You can ask to stop sending you marketing communications at any time [by logging into the website and checking or unchecking relevant boxes to adjust your marketing preferences 
                <bold>OR</bold>
                 by following the opt-out links within any marketing communication sent to you or by contacting us [LINK]].
              </paratext>
            </para>
          </clause>
          <clause id="a697118" numbering="none">
            <para>
              <paratext>If you opt out of receiving marketing communications, you will still receive service-related communications that are essential for administrative or customer service purposes [for example relating to [order confirmations for [a product/service warranty registration, appointment reminders, updates to our Terms and Conditions, checking that your contact details are correct].</paratext>
            </para>
          </clause>
          <clause id="a512081" numbering="none">
            <head align="left" preservecase="true">
              <headtext>Cookies</headtext>
            </head>
          </clause>
          <clause condition="optional" id="a591491" numbering="none">
            <para>
              <paratext>For more information about the cookies we use and how to change your cookie preferences, please see [LINK TO YOUR COOKIE POLICY].</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11" level="1">
                <para>
                  <paratext>
                    Under Article 28 of the 
                    <link href="w-027-1020" style="ACTLinkPLCtoPLC">
                      <ital>UK GDPR</ital>
                    </link>
                    , businesses are required to enter into a contract (or other legally binding act) with any third-party processor that imposes obligations on the processor to:
                  </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UK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w-025-2861" style="ACTLinkPLCtoPLC">
                      <ital>Practice note, Processor obligations under UK GDPR</ital>
                    </link>
                     and 
                    <link href="w-027-8411" style="ACTLinkPLCtoPLC">
                      <ital>Standard clauses, Data processing clauses (UK)</ital>
                    </link>
                    .
                  </paratext>
                </para>
                <para>
                  <paratext>Article 13(1)(e) of the UK GDPR also requires a privacy policy to disclose all recipients or categories of recipients of the personal data. A recipient does not have to be a third party and can therefore include controllers and other entities within the same group.</paratext>
                </para>
                <para>
                  <paratext>
                    The EDPB Transparency Guidelines recommend that a privacy policy should provide information on the actual (named) recipients of the personal data. If businesses can (and wish to) provide details of named recipients, they may want to insert that detail into the table 
                    <internal.reference refid="a705127">
                      <ital>Purposes for which we will use your personal data</ital>
                    </internal.reference>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an organisation decides to only disclose categories of recipients, it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 The ICO does recognise that an organisation can tell people the categories of recipients rather than naming them, provided that those categories are adequately explained. In the Tik Tok case, the ICO found that the term business partners was too broad, given that it could encompass a vast range of different recipients and it was unreasonable to assume that a data subject would have had knowledge of all of the various entities with whom TikTok does business. The ICO's view was that, in the circumstances, TikTok was required to provide either all of the named recipients of users' personal data in order to comply with Article 13(1)(e) or at least sufficient detail on the categories of recipients so that data subjects were able to know exactly who held their personal data. Businesses which sell personal data, for example, customer lists to advertisers, should specifically disclose this practice (such data disclosures to the purchaser of the list are likely to require the business to obtain a separate consent from individuals for the disclosure and sale of their data in order for such disclosure to be lawful). The policy should also specifically reserve the right to transfer or disclose personal data in connection with a sale of the business or its assets.</paratext>
                </para>
                <para>
                  <paratext>
                    <internal.reference refid="a239061">
                      <ital>Paragraph 5</ital>
                    </internal.reference>
                     of this privacy policy, broadly identifies (by categories) and describes some of the common recipients of data by website operators. This section must be carefully reviewed and tailored to meet your business operations. In particular, businesses should try to be as specific as possible about the categories of recipients and include the details set out above.
                  </paratext>
                </para>
              </division>
            </drafting.note>
          </clause>
          <clause id="a342752" numbering="none">
            <para>
              <paratext>
                We may share your personal data where necessary with the parties set out below for the purposes set out in the table 
                <internal.reference refid="a705127">
                  <ital>Purposes for which we will use your personal data</ital>
                </internal.reference>
                 above.
              </paratext>
            </para>
            <list type="bulleted">
              <list.item>
                <para>
                  <paratext>Internal Third Parties as set out in the [LINK].</paratext>
                </para>
              </list.item>
              <list.item>
                <para>
                  <paratext>External Third Parties as set out in the [LINK].</paratext>
                </para>
              </list.item>
              <list.item>
                <para>
                  <paratext>
                    [Specific third parties [listed in the table 
                    <internal.reference refid="a705127">
                      <ital>Purposes for which we will use your personal data</ital>
                    </internal.reference>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2"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
                    The 
                    <link href="w-027-1020" style="ACTLinkPLCtoPLC">
                      <ital>UK GDPR</ital>
                    </link>
                     restricts transfers of personal data outside the UK unless the recipient country provides adequate protection for the personal data (as a result of the UK government having adopted UK adequacy regulations in respect of that country), or other appropriate safeguards (such as standard contractual clauses) are put in place by the controller. This is to ensure that the level of protection of an individual's personal data afforded by the UK GDPR is not undermined.
                  </paratext>
                </para>
                <para>
                  <paratext>The UK is a jurisdiction outside the EU and therefore a third country for the purposes of the EU GDPR and EU countries are third countries for the purposes of the UK GDPR. However, the UK has deemed EU countries adequate for transfer purposes and recognised EU adequacy decisions in relation to other countries. The EU has also issued adequacy findings in relation to the UK.</paratext>
                </para>
                <para>
                  <paratext>
                    Personal data can only be transferred outside the UK to third countries or international organisations in compliance with the conditions for transfer set out in Chapter V (
                    <ital>Articles 44-50</ital>
                    ) of the UK GDPR.
                  </paratext>
                </para>
                <para>
                  <paratext>
                    Where personal data is to be transferred outside the UK, Article 13(1) (f) of the UK GDPR requires controllers to provide individuals with information about the existence or absence of UK adequacy regulations in respect of the transfer to that third country, and/or any appropriate or suitable safeguards in place for such transfers such as standard contractual clauses or binding corporate rules (and the means by which to obtain a copy of these safeguards or details of where they have been made available). Further, in the context of subject access requests, the individual making the request has the right to be informed of the appropriate safeguards in place (
                    <ital>Article 15(2)</ital>
                    ).
                  </paratext>
                </para>
                <para>
                  <paratext>The EDPB Transparency Guidelines suggest that, under the EU GDPR, names of individual countries outside the EEA where data is transferred should generally be set out in the privacy policy. This is quite an onerous requirement to comply with given that the countries where data is transferred may regularly change as a result of changes in vendors or organisational changes within a corporate group However, the ICO has adopted this approach in its decision concerning Tik Tok, stating that "in order for the information provided on transfers under Article 13(1)(f) to be meaningful, third countries to which data is transferred should generally be named".</paratext>
                </para>
                <para>
                  <paratext>It remains to be seen whether this finding was specific to the facts of the Tik Tok case or whether the regulator will update its guidance to require all controllers to name in their privacy policies the relevant overseas countries which will receive personal data transferred from the UK. The ICO considered that "the naming of third countries was necessary and particularly important on the specific facts of TikTok's situation" given that Tik Tok had previously publicly stated that data about its UK users was not being processed in China only to then tell the ICO the contrary during the regulator's initial investigation.</paratext>
                </para>
                <para>
                  <paratext>For more information on international requirements, see:</paratext>
                </para>
                <list type="bulleted">
                  <list.item>
                    <para>
                      <paratext>
                        <link href="w-013-9203" style="ACTLinkPLCtoPLC">
                          <ital>Practice note, Overview of data transfers (UK)</ital>
                        </link>
                        .
                      </paratext>
                    </para>
                  </list.item>
                  <list.item>
                    <para>
                      <paratext>
                        <link href="w-033-2349" style="ACTLinkPLCtoPLC">
                          <ital>Practice note, Transferring personal data outside the UK: FAQs</ital>
                        </link>
                        .
                      </paratext>
                    </para>
                  </list.item>
                  <list.item>
                    <para>
                      <paratext>
                        <link href="w-038-4650" style="ACTLinkPLCtoPLC">
                          <ital>Adequacy regulations tracker (UK and EU)</ital>
                        </link>
                        .
                      </paratext>
                    </para>
                  </list.item>
                  <list.item>
                    <para>
                      <paratext>
                        <link href="w-038-6137" style="ACTLinkPLCtoPLC">
                          <ital>Data transfer agreements and SCCs tracker (UK and EU)</ital>
                        </link>
                        .
                      </paratext>
                    </para>
                  </list.item>
                </list>
                <para>
                  <paratext>If a controller is relying on the ICO's IDTA or Addendum as its transfer mechanism for transferring website users' personal data to a country outside the UK, then it must specify in the privacy policy which of these contractual mechanisms it is relying on and also inform individuals how they can obtain a copy of the relevant standard data protection clauses (Article 13(1)(f)).</paratext>
                </para>
                <para>
                  <paratext>The privacy policy also allows the controller to include information about any other valid transfer mechanism under the UK GDPR that it wishes to rely on such as an approved code of conduct or certification scheme, although the ICO has not yet approved any such mechanisms.</paratext>
                </para>
              </division>
            </drafting.note>
          </clause>
          <clause id="a916272" numbering="none">
            <para>
              <paratext>[IF NO TRANSFERS OUT OF UK OCCUR:] [We do not transfer your personal data outside the UK].</paratext>
            </para>
          </clause>
          <clause id="a639072" numbering="none">
            <para>
              <paratext>
                <bold>OR</bold>
              </paratext>
            </para>
          </clause>
          <clause id="a642508" numbering="none">
            <para>
              <paratext>[IF TRANSFERS OUT OF UK OCCUR WITHIN A CORPORATE GROUP:] We share your personal data within the [ORGANISATION] Group. This will involve transferring your data outside the UK to our overseas offices in [INSERT NAMES OF COUNTRIES].]</paratext>
            </para>
          </clause>
          <clause id="a679411" numbering="none">
            <para>
              <paratext>Whenever we transfer your personal data out of the UK to countries which have laws that do not provide the same level of data protection as the UK law, we always ensure that a similar degree of protection is afforded to it by ensuring that the following safeguards are implemented [DELETE AS APPLICABLE]:</paratext>
            </para>
          </clause>
          <clause id="a232622" numbering="none">
            <para>
              <paratext>[IF BINDING CORPORATE RULES ARE USED FOR THE INTRA-GROUP TRANSFERS:] [We ensure your personal data is protected by requiring all our group companies to follow the same set of rules when processing your personal data. These rules are called "binding corporate rules" (BCR). To view our BCR, please contact us at [INSERT CONTACT EMAIL OR LINK TO CONTACT DETAILS].</paratext>
            </para>
          </clause>
          <clause id="a364214" numbering="none">
            <para>
              <paratext>[IF STANDARD CONTRACTUAL CLAUSES ARE USED FOR THE INTRA-GROUP TRANSFERS:]</paratext>
            </para>
          </clause>
          <clause id="a504133" numbering="none">
            <para>
              <paratext>[We use specific standard contractual terms approved for use in the UK which give the transferred personal data the same protection as it has in the UK, namely the [International Data Transfer Agreement] OR [The International Data Transfer Addendum to the European Commission’s standard contractual clauses for international data transfers]. To obtain a copy of these contractual safeguards, please contact us at [insert contact email address or link to CONTACT DETAILS].</paratext>
            </para>
          </clause>
          <clause id="a342043" numbering="none">
            <para>
              <paratext>[IF PERSONAL DATA IS TRANSFERRED OUTSIDE THE UK TO SERVICE PROVIDERS]:</paratext>
            </para>
          </clause>
          <clause id="a291851" numbering="none">
            <para>
              <paratext>[We may transfer your personal data to service providers that carry out certain functions on our behalf. This may involve transferring personal data outside the UK to countries which have laws that do not provide the same level of data protection as the UK law.</paratext>
            </para>
          </clause>
          <clause id="a191241" numbering="none">
            <para>
              <paratext>Whenever we transfer your personal data out of the UK to service providers, we ensure a similar degree of protection is afforded to it by ensuring that the following safeguards are in place [DELETE AS APPLICABLE]:</paratext>
            </para>
            <list type="bulleted">
              <list.item>
                <para>
                  <paratext>We will only transfer your personal data to countries that have been deemed by the UK to provide an adequate level of protection for personal data, namely, [INSERT NAMES OF COUNTRIES AND RELEVANT ADEQUACY REGULATIONS]. OR</paratext>
                </para>
              </list.item>
              <list.item>
                <para>
                  <paratext>
                    We may use specific standard contractual terms approved for use in the UK which give the transferred personal data the same protection as it has in the UK, namely the [International Data Transfer Agreement] [OR] [The International Data Transfer Addendum to the European Commission’s standard contractual clauses for international data transfers]. To obtain a copy of these contractual safeguards, please contact us at [insert contact email address or link to Contact details (
                    <internal.reference refid="a682882">
                      <ital>paragraph 10</ital>
                    </internal.reference>
                    ).  For further details, see [ ].] 
                    <bold>OR</bold>
                  </paratext>
                </para>
              </list.item>
              <list.item>
                <para>
                  <paratext>[INSERT DETAILS OF ANY OTHER TRANSFER MECHANISMS, E.G. A BESPOKE CONTRACT AUTHORISED BY THE ICO OR AN APPROVED CODE OF CONDUCT OR CERTIFICATION SCHEME AND INSERT DETAILS OF HOW TO OBTAIN A COPY OF THE MECHANISM].</paratext>
                </para>
              </list.item>
            </list>
          </clause>
          <clause id="a424553">
            <identifier>7.</identifier>
            <head align="left" preservecase="true">
              <headtext>Data security</headtext>
            </head>
            <drafting.note id="a156589" jurisdiction="">
              <head align="left" preservecase="true">
                <headtext>Data security</headtext>
              </head>
              <division id="a000013"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ital>
                        <link href="w-027-1020" style="ACTLinkPLCtoPLC">
                          <ital>UK GDPR</ital>
                        </link>
                        ).
                      </paratext>
                    </para>
                  </list.item>
                  <list.item>
                    <para>
                      <paratext>
                        Ensure that anyone acting under their authority who has access to the personal data does not process it except on their instructions, unless required to do so by domestic law (
                        <ital>Article 32(4)</ital>
                        ).
                      </paratext>
                    </para>
                  </list.item>
                </list>
                <division id="a476869"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w-013-5138" style="ACTLinkPLCtoPLC">
                        <ital>Practice note, Data security under the UK GDPR and DPA 2018</ital>
                      </link>
                      . There is no express transparency obligation in the UK GDPR that requires organisations to notify individuals of the types of data security measures that have been put in place by the organisation to protect their personal data. However, it is best practice to include a high-level summary in your privacy policy of some of the measures your organisation has taken to protect individuals’ data from unauthorised access and cyber security breaches and there is some value in doing so, particularly in a consumer-facing context where consumers may have particular concerns regarding the protection of their data from internal and external threats.
                    </paratext>
                  </para>
                </division>
              </division>
            </drafting.note>
          </clause>
          <clause id="a123273"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924764"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4" level="1">
                <para>
                  <paratext>
                    The 
                    <link href="w-027-1020" style="ACTLinkPLCtoPLC">
                      <ital>UK GDPR</ital>
                    </link>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UK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EDPB Transparency Guidelines go further and suggest it will not be sufficient to generically state that personal data will be kept as long as necessary for the legitimate purposes of the processing and in fact privacy policies should go as far as including, where appropriate, archiving periods for specific data or activities. This is quite an onerous requirement to comply with for most businesses and indeed most UK businesses do not currently comply fully with the Article 13(2)(a) requirements in their website privacy policies.</paratext>
                </para>
                <para>
                  <paratext>
                    If organisations have managed to determine specific retention periods, they should insert the appropriate retention period per activity/data set in the table set out in 
                    <internal.reference refid="a705127">
                      <ital>Purposes for which we will use your personal data</ital>
                    </internal.reference>
                     above and we have provided for this in section 8 of the privacy policy (
                    <internal.reference refid="a852989">
                      <ital>paragraph 8</ital>
                    </internal.reference>
                    ). It is clear from the ICO's enforcement action in the TikTok case that listing the specific retention periods in this way is the most compliant approach.
                  </paratext>
                </para>
                <para>
                  <paratext>Nevertheless, Article 13(2)(a) of the UK GDPR states that if you don't have a specific retention period then you need to tell people the criteria that you use to decide how long you will keep their information. Note that the EDPB Transparency Guidelines indicate that it should be phrased in a way that allows the data subject to assess, on the basis of their own situation, what the retention period will be for specific data or activities. This was confirmed by the ICO in its enforcement action taken against Tik Tok for a breach of Article 13(2)(a). The ICO held that whilst a controller can comply with the Article 13 requirement by providing information about the criteria used to determine the retention periods (as opposed to actually stating the retention periods), these criteria must be ‘meaningful’ in terms of enabling a user to understand how long the controller would hold the individual’s data. In Tik Tok's case, the regulator found that the criteria used by Tik Tok to determine the retention periods across its Privacy Policies were 'broad, general and not meaningful in terms of enabling a user to understand how long TikTok would hold his or her data'. The ICO further cited the EDPB Transparency Guidelines in emphasising that "it is not sufficient for the data controller to generically state that personal data will be kept as long as necessary for the legitimate purposes of the processing".</paratext>
                </para>
                <para>
                  <paratext>Whilst the most compliant approach is to list the specific retention periods for the various categories of personal data, an alternative risk-based approach would be to set out instead the criteria that are used to determine the retention periods and we have provided this option in section 8 of the privacy policy.</paratext>
                </para>
                <para>
                  <paratext>
                    For more information see 
                    <link href="w-014-7851" style="ACTLinkPLCtoPLC">
                      <ital>Practice note, Data retention policies (UK and EU)</ital>
                    </link>
                    , 
                    <link href="w-014-8024" style="ACTLinkPLCtoPLC">
                      <ital>Checklist, Data retention policies (UK and EU): checklist,</ital>
                    </link>
                    <link href="w-014-8509" style="ACTLinkPLCtoPLC">
                      <ital>Standard document, Data retention policy (UK and EU)</ital>
                    </link>
                     and 
                    <link href="w-022-9118" style="ACTLinkPLCtoPLC">
                      <ital>Standard document, Data retention schedule for personal data (UK)</ital>
                    </link>
                    .
                  </paratext>
                </para>
              </division>
            </drafting.note>
          </clause>
          <clause id="a536431" numbering="none">
            <head align="left" preservecase="true">
              <headtext>How long will you use my personal data for?</headtext>
            </head>
          </clause>
          <clause id="a211644" numbering="none">
            <para>
              <paratext>
                [Details of retention periods for different aspects of your personal data are [set out in the table [
                <internal.reference refid="a705127">
                  <ital>Purposes for which we will use your personal data</ital>
                </internal.reference>
                ] above].
              </paratext>
            </para>
          </clause>
          <clause id="a703301" numbering="none">
            <para>
              <paratext>OR</paratext>
            </para>
          </clause>
          <clause id="a863448" numbering="none">
            <para>
              <paratex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nternal.reference refid="a152621">
                  <ital>paragraph 9</ital>
                </internal.reference>
                ] below for further information.
              </paratext>
            </para>
          </clause>
          <clause id="a938517" numbering="none">
            <para>
              <paratext>[In some circumstances we will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5" level="1">
                <para>
                  <paratext>
                    For information on data subjects' rights under the 
                    <link href="w-027-1020" style="ACTLinkPLCtoPLC">
                      <ital>UK GDPR</ital>
                    </link>
                    , including the right to be forgotten and the right to data portability, see 
                    <link href="w-024-3178" style="ACTLinkPLCtoPLC">
                      <ital>Practice note, Data subject rights (UK)</ital>
                    </link>
                     and 
                    <link href="w-019-9092" style="ACTLinkPLCtoPLC">
                      <ital>Handling data subject requests toolkit (UK)</ital>
                    </link>
                    .
                  </paratext>
                </para>
              </division>
            </drafting.note>
          </clause>
          <clause id="a905008" numbering="none">
            <para>
              <paratext>You have a number of rights under data protection laws in relation to your personal data.</paratext>
            </para>
          </clause>
          <clause id="a807579" numbering="none">
            <para>
              <paratext>You have the right to:</paratext>
            </para>
            <list type="bulleted">
              <list.item>
                <para>
                  <paratext>Request access to your personal data (commonly known as a "subject access request"). This enables you to receive a copy of the personal data we hold about you and to check that we are lawfully processing it.</paratext>
                </para>
              </list.item>
              <list.item>
                <para>
                  <paratext>Request correction of the personal data that we hold about you. This enables you to have any incomplete or inaccurate data we hold about you corrected, though we may need to verify the accuracy of the new data you provide to us.</paratext>
                </para>
              </list.item>
              <list.item>
                <para>
                  <paratext>Request erasure of your personal data in certain circumstances.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paratext>
                </para>
              </list.item>
              <list.item>
                <para>
                  <paratext>Object to processing of your personal data where we are relying on a legitimate interest (or those of a third party) as the legal basis for that particular use of your data (including carrying out profiling based on our legitimate interests). In some cases, we may demonstrate that we have compelling legitimate grounds to process your information which override your right to object.</paratext>
                </para>
              </list.item>
              <list.item>
                <para>
                  <paratext>
                    You also have the absolute right to object any time to the processing of your personal data for direct marketing purposes (see 
                    <internal.reference refid="a879432">
                      <ital>OPTING OUT OF MARKETING</ital>
                    </internal.reference>
                     in 
                    <internal.reference refid="a179246">
                      <ital>paragraph 4</ital>
                    </internal.reference>
                     for details of how to object to receiving direct marketing communications).
                  </paratext>
                </para>
              </list.item>
              <list.item>
                <para>
                  <paratext>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paratext>
                </para>
              </list.item>
              <list.item>
                <para>
                  <paratext>[Withdraw consent at any time where we are relying on consent to process your personal data (see the table in section 4 for details of when we rely on your consent as the legal basis for using your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paratext>
                </para>
              </list.item>
              <list.item>
                <para>
                  <paratext>Request restriction of processing of your personal data. This enables you to ask us to suspend the processing of your personal data in one of the following scenarios:</paratext>
                </para>
                <list type="bulleted">
                  <list.item>
                    <para>
                      <paratext>If you want us to establish the data's accuracy;</paratext>
                    </para>
                  </list.item>
                  <list.item>
                    <para>
                      <paratext>Where our use of the data is unlawful but you do not want us to erase it;</paratext>
                    </para>
                  </list.item>
                  <list.item>
                    <para>
                      <paratext>Where you need us to hold the data even if we no longer require it as you need it to establish, exercise or defend legal claims; or</paratext>
                    </para>
                  </list.item>
                  <list.item>
                    <para>
                      <paratext>You have objected to our use of your data but we need to verify whether we have overriding legitimate grounds to use it.</paratext>
                    </para>
                  </list.item>
                </list>
              </list.item>
            </list>
          </clause>
          <clause id="a694615" numbering="none">
            <para>
              <paratext>
                If you wish to exercise any of the rights set out above, [please contact us [see Contact details (
                <internal.reference refid="a682882">
                  <ital>paragraph 10</ital>
                </internal.reference>
                )] 
                <bold>OR</bold>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could take us longer than a month if your request is particularly complex or you have made a number of requests. In this case, we will notify you and keep you updated.</paratext>
            </para>
          </clause>
          <clause id="a682882">
            <identifier>10.</identifier>
            <head align="left" preservecase="true">
              <headtext>Contact details</headtext>
            </head>
          </clause>
          <clause id="a679082" numbering="none">
            <para>
              <paratext>
                If you have any questions about this privacy policy or about the use of your personal data or you want to exercise your privacy rights, please contact [our DPO] 
                <bold>OR</bold>
                 [us] in the following ways:
              </paratext>
            </para>
            <list type="bulleted">
              <list.item>
                <para>
                  <paratext>Email address: [DETAILS]</paratext>
                </para>
              </list.item>
              <list.item>
                <para>
                  <paratext>Postal address: [DETAILS]</paratext>
                </para>
              </list.item>
              <list.item>
                <para>
                  <paratext>[Telephone number: [DETAILS]]</paratext>
                </para>
              </list.item>
            </list>
          </clause>
          <clause id="a194718">
            <identifier>11.</identifier>
            <head align="left" preservecase="true">
              <headtext>Complaints</headtext>
            </head>
          </clause>
          <clause id="a396864" numbering="none">
            <para>
              <paratext>
                You have the right to make a complaint at any time to the Information Commissioner’s Office (ICO), the UK regulator for data protection issues (
                <link href="http://www.ico.org.uk/" style="ACTLinkURL">
                  <ital>www.ico.org.uk</ital>
                </link>
                ). We would, however, appreciate the chance to deal with your concerns before you approach the ICO so please contact us in the first instance.
              </paratext>
            </para>
          </clause>
          <clause id="a475634">
            <identifier>12.</identifier>
            <head align="left" preservecase="true">
              <headtext>Changes to the privacy policy and your duty to inform us of changes</headtext>
            </head>
          </clause>
          <clause id="a324325" numbering="none">
            <para>
              <paratext>
                We keep our privacy policy under regular review. [This version was last updated on [DATE]. [Historic versions [are archived here: [LINK] 
                <bold>OR</bold>
                 can be obtained by contacting us]].]
              </paratext>
            </para>
          </clause>
          <clause id="a206686" numbering="none">
            <para>
              <paratext>It is important that the personal data we hold about you is accurate and current. Please keep us informed if your personal data changes during your relationship with us, for example a new address or email address.</paratext>
            </para>
          </clause>
          <clause id="a493778">
            <identifier>13.</identifier>
            <head align="left" preservecase="true">
              <headtext>Third-party links</headtext>
            </head>
          </clause>
          <clause id="a165636"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paratext>
            </para>
          </clause>
        </operative>
      </body>
      <rev.history>
        <rev.item>
          <rev.title>Proposed e-Privacy Regulation Withdrawn from 2025 European Commission Work Programme (February 2025)</rev.title>
          <rev.date>20250214</rev.date>
          <rev.author>Practical Law Data Protection</rev.author>
          <rev.body>
            <division id="a000001" level="1">
              <para>
                <paratext>We have updated the section How we use your personal data: Cookies, to reflect the withdrawal of the proposed e-Privacy Regulation from the 2025 European Commission Work Programme.</paratext>
              </para>
            </division>
          </rev.body>
        </rev.item>
        <rev.item>
          <rev.title>Updated resource (September 2024)</rev.title>
          <rev.date>20240923</rev.date>
          <rev.author>Practical Law Data Protection</rev.author>
          <rev.body>
            <division id="a000002" level="1">
              <para>
                <paratext>We have reviewed and updated this resource at the Guidance and Decision section, with details of the ICO privacy notice generator tool.</paratext>
              </para>
            </division>
          </rev.body>
        </rev.item>
        <rev.item>
          <rev.title>Updated resource (January 2024)</rev.title>
          <rev.date>20231101</rev.date>
          <rev.author>Practical Law Data Protection</rev.author>
          <rev.body>
            <division id="a000003" level="1">
              <para>
                <paratext>We have reviewed and updated this resource.</paratext>
              </para>
            </division>
          </rev.body>
        </rev.item>
      </rev.history>
    </standard.doc>
  </n-docbody>
</n-document>
</file>

<file path=customXml/itemProps1.xml><?xml version="1.0" encoding="utf-8"?>
<ds:datastoreItem xmlns:ds="http://schemas.openxmlformats.org/officeDocument/2006/customXml" ds:itemID="{B1483490-6E21-4BAD-B458-BBF6798878A1}">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508FC868-7B26-40DA-A6F3-56A23417653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3299</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privacy policy (UK)</dc:title>
  <dc:creator>uc217199</dc:creator>
  <cp:lastModifiedBy>Elena Donaldson</cp:lastModifiedBy>
  <cp:revision>2</cp:revision>
  <dcterms:created xsi:type="dcterms:W3CDTF">2025-08-08T13:37:00Z</dcterms:created>
  <dcterms:modified xsi:type="dcterms:W3CDTF">2025-08-08T13:37:00Z</dcterms:modified>
</cp:coreProperties>
</file>